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0A4D29">
        <w:rPr>
          <w:rFonts w:cstheme="minorHAnsi"/>
          <w:b/>
          <w:color w:val="000000"/>
          <w:sz w:val="20"/>
          <w:szCs w:val="20"/>
        </w:rPr>
        <w:t>NOTA INFORMATIVA CEVS/DVE/SES - RS</w:t>
      </w:r>
    </w:p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0A4D29">
        <w:rPr>
          <w:rFonts w:cstheme="minorHAnsi"/>
          <w:color w:val="000000"/>
          <w:sz w:val="20"/>
          <w:szCs w:val="20"/>
        </w:rPr>
        <w:t xml:space="preserve">Porto Alegre, </w:t>
      </w:r>
      <w:r w:rsidR="00E42427">
        <w:rPr>
          <w:rFonts w:cstheme="minorHAnsi"/>
          <w:color w:val="000000"/>
          <w:sz w:val="20"/>
          <w:szCs w:val="20"/>
        </w:rPr>
        <w:t>26</w:t>
      </w:r>
      <w:r w:rsidRPr="000A4D29">
        <w:rPr>
          <w:rFonts w:cstheme="minorHAnsi"/>
          <w:color w:val="000000"/>
          <w:sz w:val="20"/>
          <w:szCs w:val="20"/>
        </w:rPr>
        <w:t xml:space="preserve"> de abril de 2021.</w:t>
      </w:r>
    </w:p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0"/>
          <w:szCs w:val="20"/>
        </w:rPr>
      </w:pPr>
    </w:p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0A4D29">
        <w:rPr>
          <w:rFonts w:cstheme="minorHAnsi"/>
          <w:b/>
          <w:color w:val="000000"/>
          <w:sz w:val="20"/>
          <w:szCs w:val="20"/>
        </w:rPr>
        <w:t>ASSUNTO: Intensificação da vacinação de febre amarela no Rio Grande do Sul</w:t>
      </w:r>
      <w:r w:rsidRPr="000A4D29">
        <w:rPr>
          <w:rFonts w:cstheme="minorHAnsi"/>
          <w:b/>
          <w:i/>
          <w:color w:val="000000"/>
          <w:sz w:val="20"/>
          <w:szCs w:val="20"/>
        </w:rPr>
        <w:t xml:space="preserve"> </w:t>
      </w:r>
    </w:p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310C5" w:rsidRPr="000A4D29" w:rsidRDefault="008310C5" w:rsidP="00101932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cstheme="minorHAnsi"/>
          <w:b/>
          <w:color w:val="000000"/>
          <w:sz w:val="20"/>
          <w:szCs w:val="20"/>
          <w:lang w:eastAsia="pt-BR"/>
        </w:rPr>
      </w:pPr>
      <w:r w:rsidRPr="000A4D29">
        <w:rPr>
          <w:rFonts w:cstheme="minorHAnsi"/>
          <w:b/>
          <w:color w:val="000000"/>
          <w:sz w:val="20"/>
          <w:szCs w:val="20"/>
          <w:lang w:eastAsia="pt-BR"/>
        </w:rPr>
        <w:t>Prezados</w:t>
      </w:r>
      <w:r w:rsidR="004822E1">
        <w:rPr>
          <w:rFonts w:cstheme="minorHAnsi"/>
          <w:b/>
          <w:color w:val="000000"/>
          <w:sz w:val="20"/>
          <w:szCs w:val="20"/>
          <w:lang w:eastAsia="pt-BR"/>
        </w:rPr>
        <w:t xml:space="preserve"> e prezadas</w:t>
      </w:r>
      <w:r w:rsidRPr="000A4D29">
        <w:rPr>
          <w:rFonts w:cstheme="minorHAnsi"/>
          <w:b/>
          <w:color w:val="000000"/>
          <w:sz w:val="20"/>
          <w:szCs w:val="20"/>
          <w:lang w:eastAsia="pt-BR"/>
        </w:rPr>
        <w:t xml:space="preserve"> Responsáveis pelos Programas de Imunizações nas Coordenadorias Regionais de Saúde e nos Municípios,</w:t>
      </w:r>
    </w:p>
    <w:p w:rsidR="00B65E06" w:rsidRPr="000A4D29" w:rsidRDefault="00B65E06" w:rsidP="00101932">
      <w:pPr>
        <w:tabs>
          <w:tab w:val="left" w:pos="200"/>
        </w:tabs>
        <w:spacing w:after="0" w:line="240" w:lineRule="auto"/>
        <w:ind w:right="74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101932" w:rsidRPr="000A4D29" w:rsidRDefault="00392ACB" w:rsidP="00101932">
      <w:pPr>
        <w:tabs>
          <w:tab w:val="left" w:pos="200"/>
        </w:tabs>
        <w:spacing w:after="0" w:line="240" w:lineRule="auto"/>
        <w:ind w:right="74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Neste ano de 2021, </w:t>
      </w:r>
      <w:r w:rsidRPr="000A4D29">
        <w:rPr>
          <w:rFonts w:cstheme="minorHAnsi"/>
          <w:b/>
          <w:color w:val="000000"/>
          <w:sz w:val="20"/>
          <w:szCs w:val="20"/>
          <w:lang w:eastAsia="pt-BR"/>
        </w:rPr>
        <w:t>a circulação do vírus da febre amarela voltou a ser registrada no Rio Grande do Sul</w:t>
      </w:r>
      <w:r w:rsidR="00101932" w:rsidRPr="000A4D29">
        <w:rPr>
          <w:rFonts w:cstheme="minorHAnsi"/>
          <w:b/>
          <w:color w:val="000000"/>
          <w:sz w:val="20"/>
          <w:szCs w:val="20"/>
          <w:lang w:eastAsia="pt-BR"/>
        </w:rPr>
        <w:t>.</w:t>
      </w:r>
      <w:r w:rsidR="00101932" w:rsidRPr="000A4D29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="00C667F3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="00C667F3" w:rsidRPr="00C667F3">
        <w:rPr>
          <w:rFonts w:cstheme="minorHAnsi"/>
          <w:b/>
          <w:color w:val="000000"/>
          <w:sz w:val="20"/>
          <w:szCs w:val="20"/>
          <w:lang w:eastAsia="pt-BR"/>
        </w:rPr>
        <w:t>Em razão disto, estamos em situação de Emergência em Saúde Pública de Importância Estadual (ESPIE), declarada pela Portaria SES-RS nº341/2021, de 29 de abril de 2021</w:t>
      </w:r>
      <w:r w:rsidR="00C667F3">
        <w:rPr>
          <w:rFonts w:cstheme="minorHAnsi"/>
          <w:color w:val="000000"/>
          <w:sz w:val="20"/>
          <w:szCs w:val="20"/>
          <w:lang w:eastAsia="pt-BR"/>
        </w:rPr>
        <w:t xml:space="preserve">. </w:t>
      </w:r>
      <w:r w:rsidR="00101932" w:rsidRPr="000A4D29">
        <w:rPr>
          <w:rFonts w:cstheme="minorHAnsi"/>
          <w:color w:val="000000"/>
          <w:sz w:val="20"/>
          <w:szCs w:val="20"/>
          <w:lang w:eastAsia="pt-BR"/>
        </w:rPr>
        <w:t>O trabalho realizado pelas equipes de Vigilância Ambiental do CEVS e das Secretarias Municipais de Saúde</w:t>
      </w:r>
      <w:r w:rsidR="0063119D" w:rsidRPr="000A4D29">
        <w:rPr>
          <w:rFonts w:cstheme="minorHAnsi"/>
          <w:color w:val="000000"/>
          <w:sz w:val="20"/>
          <w:szCs w:val="20"/>
          <w:lang w:eastAsia="pt-BR"/>
        </w:rPr>
        <w:t xml:space="preserve"> (SMS)</w:t>
      </w:r>
      <w:r w:rsidR="00101932" w:rsidRPr="000A4D29">
        <w:rPr>
          <w:rFonts w:cstheme="minorHAnsi"/>
          <w:color w:val="000000"/>
          <w:sz w:val="20"/>
          <w:szCs w:val="20"/>
          <w:lang w:eastAsia="pt-BR"/>
        </w:rPr>
        <w:t>, identificou, de janeiro a abr</w:t>
      </w:r>
      <w:r w:rsidR="00936AC2">
        <w:rPr>
          <w:rFonts w:cstheme="minorHAnsi"/>
          <w:color w:val="000000"/>
          <w:sz w:val="20"/>
          <w:szCs w:val="20"/>
          <w:lang w:eastAsia="pt-BR"/>
        </w:rPr>
        <w:t xml:space="preserve">il deste ano, a ocorrência de </w:t>
      </w:r>
      <w:r w:rsidR="00D22077">
        <w:rPr>
          <w:rFonts w:cstheme="minorHAnsi"/>
          <w:color w:val="000000"/>
          <w:sz w:val="20"/>
          <w:szCs w:val="20"/>
          <w:lang w:eastAsia="pt-BR"/>
        </w:rPr>
        <w:t>58</w:t>
      </w:r>
      <w:r w:rsidR="00101932" w:rsidRPr="000A4D29">
        <w:rPr>
          <w:rFonts w:cstheme="minorHAnsi"/>
          <w:color w:val="000000"/>
          <w:sz w:val="20"/>
          <w:szCs w:val="20"/>
          <w:lang w:eastAsia="pt-BR"/>
        </w:rPr>
        <w:t xml:space="preserve"> epizootias confirmadas</w:t>
      </w:r>
      <w:r w:rsidR="00936AC2">
        <w:rPr>
          <w:rFonts w:cstheme="minorHAnsi"/>
          <w:color w:val="000000"/>
          <w:sz w:val="20"/>
          <w:szCs w:val="20"/>
          <w:lang w:eastAsia="pt-BR"/>
        </w:rPr>
        <w:t xml:space="preserve"> por febre amarela, atingindo </w:t>
      </w:r>
      <w:r w:rsidR="00D22077">
        <w:rPr>
          <w:rFonts w:cstheme="minorHAnsi"/>
          <w:color w:val="000000"/>
          <w:sz w:val="20"/>
          <w:szCs w:val="20"/>
          <w:lang w:eastAsia="pt-BR"/>
        </w:rPr>
        <w:t>22</w:t>
      </w:r>
      <w:r w:rsidR="00101932" w:rsidRPr="000A4D29">
        <w:rPr>
          <w:rFonts w:cstheme="minorHAnsi"/>
          <w:color w:val="000000"/>
          <w:sz w:val="20"/>
          <w:szCs w:val="20"/>
          <w:lang w:eastAsia="pt-BR"/>
        </w:rPr>
        <w:t xml:space="preserve"> municípios afetados, incluindo-se a Capital, Porto Alegre. </w:t>
      </w:r>
    </w:p>
    <w:p w:rsidR="00101932" w:rsidRPr="000A4D29" w:rsidRDefault="00101932" w:rsidP="00101932">
      <w:pPr>
        <w:tabs>
          <w:tab w:val="left" w:pos="200"/>
        </w:tabs>
        <w:spacing w:after="0" w:line="240" w:lineRule="auto"/>
        <w:ind w:right="74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D07A35" w:rsidRPr="000A4D29" w:rsidRDefault="00D07A35" w:rsidP="00D07A35">
      <w:pPr>
        <w:pStyle w:val="Corpodetexto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>Municípios afetados pela circulação do vírus da febre amarela, por Coordenadoria Regional de Saúde</w:t>
      </w:r>
      <w:r w:rsidR="000515DA">
        <w:rPr>
          <w:rFonts w:asciiTheme="minorHAnsi" w:eastAsiaTheme="minorHAnsi" w:hAnsiTheme="minorHAnsi" w:cstheme="minorHAnsi"/>
          <w:b/>
          <w:sz w:val="20"/>
        </w:rPr>
        <w:t xml:space="preserve"> (CRS)</w:t>
      </w:r>
      <w:r w:rsidRPr="000A4D29">
        <w:rPr>
          <w:rFonts w:asciiTheme="minorHAnsi" w:eastAsiaTheme="minorHAnsi" w:hAnsiTheme="minorHAnsi" w:cstheme="minorHAnsi"/>
          <w:b/>
          <w:sz w:val="20"/>
        </w:rPr>
        <w:t>:</w:t>
      </w:r>
    </w:p>
    <w:p w:rsidR="00D07A35" w:rsidRPr="000A4D29" w:rsidRDefault="00D07A35" w:rsidP="00D07A35">
      <w:pPr>
        <w:pStyle w:val="Corpodetexto"/>
        <w:numPr>
          <w:ilvl w:val="0"/>
          <w:numId w:val="19"/>
        </w:numPr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1ª CRS: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Morro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Reuter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Porto Alegre e </w:t>
      </w:r>
      <w:r w:rsidRPr="000A4D29">
        <w:rPr>
          <w:rFonts w:asciiTheme="minorHAnsi" w:eastAsiaTheme="minorHAnsi" w:hAnsiTheme="minorHAnsi" w:cstheme="minorHAnsi"/>
          <w:b/>
          <w:sz w:val="20"/>
        </w:rPr>
        <w:t>Rolante</w:t>
      </w:r>
      <w:r w:rsidR="00D22077">
        <w:rPr>
          <w:rFonts w:asciiTheme="minorHAnsi" w:eastAsiaTheme="minorHAnsi" w:hAnsiTheme="minorHAnsi" w:cstheme="minorHAnsi"/>
          <w:b/>
          <w:sz w:val="20"/>
        </w:rPr>
        <w:t>.</w:t>
      </w:r>
    </w:p>
    <w:p w:rsidR="00D07A35" w:rsidRPr="000A4D29" w:rsidRDefault="00D07A35" w:rsidP="00D07A35">
      <w:pPr>
        <w:pStyle w:val="Corpodetexto"/>
        <w:numPr>
          <w:ilvl w:val="0"/>
          <w:numId w:val="19"/>
        </w:numPr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5ª CRS: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Antônio Prado, Bom Jesus, Campestre da Serra,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Caxias do Sul,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Ciríaco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Esmeralda, Farroupilha, Ipê,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Jaquirana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Monte Alegre dos Campos, Muitos Capões, Pinhal da Serra, </w:t>
      </w:r>
      <w:r w:rsidR="00D22077">
        <w:rPr>
          <w:rFonts w:asciiTheme="minorHAnsi" w:eastAsiaTheme="minorHAnsi" w:hAnsiTheme="minorHAnsi" w:cstheme="minorHAnsi"/>
          <w:b/>
          <w:sz w:val="20"/>
        </w:rPr>
        <w:t>São Marcos e V</w:t>
      </w:r>
      <w:r w:rsidRPr="000A4D29">
        <w:rPr>
          <w:rFonts w:asciiTheme="minorHAnsi" w:eastAsiaTheme="minorHAnsi" w:hAnsiTheme="minorHAnsi" w:cstheme="minorHAnsi"/>
          <w:b/>
          <w:sz w:val="20"/>
        </w:rPr>
        <w:t>acaria</w:t>
      </w:r>
      <w:r w:rsidR="00D22077">
        <w:rPr>
          <w:rFonts w:asciiTheme="minorHAnsi" w:eastAsiaTheme="minorHAnsi" w:hAnsiTheme="minorHAnsi" w:cstheme="minorHAnsi"/>
          <w:b/>
          <w:sz w:val="20"/>
        </w:rPr>
        <w:t>.</w:t>
      </w:r>
    </w:p>
    <w:p w:rsidR="00D07A35" w:rsidRDefault="00D07A35" w:rsidP="00D07A35">
      <w:pPr>
        <w:pStyle w:val="PargrafodaLista"/>
        <w:numPr>
          <w:ilvl w:val="0"/>
          <w:numId w:val="19"/>
        </w:numPr>
        <w:tabs>
          <w:tab w:val="left" w:pos="200"/>
        </w:tabs>
        <w:spacing w:after="0" w:line="240" w:lineRule="auto"/>
        <w:ind w:right="74"/>
        <w:jc w:val="both"/>
        <w:rPr>
          <w:rFonts w:cstheme="minorHAnsi"/>
          <w:b/>
          <w:sz w:val="20"/>
          <w:szCs w:val="20"/>
        </w:rPr>
      </w:pPr>
      <w:proofErr w:type="spellStart"/>
      <w:r w:rsidRPr="000A4D29">
        <w:rPr>
          <w:rFonts w:cstheme="minorHAnsi"/>
          <w:b/>
          <w:sz w:val="20"/>
          <w:szCs w:val="20"/>
        </w:rPr>
        <w:t>6ªCRS:</w:t>
      </w:r>
      <w:proofErr w:type="spellEnd"/>
      <w:r w:rsidRPr="000A4D29">
        <w:rPr>
          <w:rFonts w:cstheme="minorHAnsi"/>
          <w:b/>
          <w:sz w:val="20"/>
          <w:szCs w:val="20"/>
        </w:rPr>
        <w:t xml:space="preserve"> André da Rocha,</w:t>
      </w:r>
      <w:r w:rsidR="00D22077">
        <w:rPr>
          <w:rFonts w:cstheme="minorHAnsi"/>
          <w:b/>
          <w:sz w:val="20"/>
          <w:szCs w:val="20"/>
        </w:rPr>
        <w:t xml:space="preserve"> Barracão, Capão Bonito do Sul e </w:t>
      </w:r>
      <w:r w:rsidRPr="000A4D29">
        <w:rPr>
          <w:rFonts w:cstheme="minorHAnsi"/>
          <w:b/>
          <w:sz w:val="20"/>
          <w:szCs w:val="20"/>
        </w:rPr>
        <w:t>Lagoa Vermelha</w:t>
      </w:r>
      <w:r w:rsidR="00D22077">
        <w:rPr>
          <w:rFonts w:cstheme="minorHAnsi"/>
          <w:b/>
          <w:sz w:val="20"/>
          <w:szCs w:val="20"/>
        </w:rPr>
        <w:t>.</w:t>
      </w:r>
    </w:p>
    <w:p w:rsidR="00936AC2" w:rsidRPr="000A4D29" w:rsidRDefault="00936AC2" w:rsidP="00D07A35">
      <w:pPr>
        <w:pStyle w:val="PargrafodaLista"/>
        <w:numPr>
          <w:ilvl w:val="0"/>
          <w:numId w:val="19"/>
        </w:numPr>
        <w:tabs>
          <w:tab w:val="left" w:pos="200"/>
        </w:tabs>
        <w:spacing w:after="0" w:line="240" w:lineRule="auto"/>
        <w:ind w:right="74"/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13ªCRS:</w:t>
      </w:r>
      <w:proofErr w:type="spellEnd"/>
      <w:r>
        <w:rPr>
          <w:rFonts w:cstheme="minorHAnsi"/>
          <w:b/>
          <w:sz w:val="20"/>
          <w:szCs w:val="20"/>
        </w:rPr>
        <w:t xml:space="preserve"> Santa Cruz do Sul</w:t>
      </w:r>
      <w:r w:rsidR="00D22077">
        <w:rPr>
          <w:rFonts w:cstheme="minorHAnsi"/>
          <w:b/>
          <w:sz w:val="20"/>
          <w:szCs w:val="20"/>
        </w:rPr>
        <w:t xml:space="preserve">. </w:t>
      </w:r>
    </w:p>
    <w:p w:rsidR="00101932" w:rsidRPr="000A4D29" w:rsidRDefault="00101932" w:rsidP="00101932">
      <w:pPr>
        <w:pStyle w:val="Corpodetexto"/>
        <w:rPr>
          <w:rFonts w:asciiTheme="minorHAnsi" w:eastAsiaTheme="minorHAnsi" w:hAnsiTheme="minorHAnsi" w:cstheme="minorHAnsi"/>
          <w:b/>
          <w:sz w:val="20"/>
        </w:rPr>
      </w:pPr>
    </w:p>
    <w:p w:rsidR="00101932" w:rsidRPr="000A4D29" w:rsidRDefault="00101932" w:rsidP="00101932">
      <w:pPr>
        <w:pStyle w:val="Corpodetexto"/>
        <w:rPr>
          <w:rFonts w:asciiTheme="minorHAnsi" w:eastAsiaTheme="minorHAnsi" w:hAnsiTheme="minorHAnsi" w:cstheme="minorHAnsi"/>
          <w:sz w:val="20"/>
        </w:rPr>
      </w:pPr>
      <w:r w:rsidRPr="000A4D29">
        <w:rPr>
          <w:rFonts w:asciiTheme="minorHAnsi" w:eastAsiaTheme="minorHAnsi" w:hAnsiTheme="minorHAnsi" w:cstheme="minorHAnsi"/>
          <w:sz w:val="20"/>
        </w:rPr>
        <w:t>Além dos municípios da área afetada, composta pelos locais com evidência de circulação</w:t>
      </w:r>
      <w:r w:rsidR="0063119D" w:rsidRPr="000A4D29">
        <w:rPr>
          <w:rFonts w:asciiTheme="minorHAnsi" w:eastAsiaTheme="minorHAnsi" w:hAnsiTheme="minorHAnsi" w:cstheme="minorHAnsi"/>
          <w:sz w:val="20"/>
        </w:rPr>
        <w:t xml:space="preserve"> do vírus amarílico</w:t>
      </w:r>
      <w:r w:rsidRPr="000A4D29">
        <w:rPr>
          <w:rFonts w:asciiTheme="minorHAnsi" w:eastAsiaTheme="minorHAnsi" w:hAnsiTheme="minorHAnsi" w:cstheme="minorHAnsi"/>
          <w:sz w:val="20"/>
        </w:rPr>
        <w:t>, a recomendação</w:t>
      </w:r>
      <w:r w:rsidR="0063119D" w:rsidRPr="000A4D29">
        <w:rPr>
          <w:rFonts w:asciiTheme="minorHAnsi" w:eastAsiaTheme="minorHAnsi" w:hAnsiTheme="minorHAnsi" w:cstheme="minorHAnsi"/>
          <w:sz w:val="20"/>
        </w:rPr>
        <w:t xml:space="preserve"> do Ministério da Saúde é que a intensificação da</w:t>
      </w:r>
      <w:r w:rsidR="00C87D08">
        <w:rPr>
          <w:rFonts w:asciiTheme="minorHAnsi" w:eastAsiaTheme="minorHAnsi" w:hAnsiTheme="minorHAnsi" w:cstheme="minorHAnsi"/>
          <w:sz w:val="20"/>
        </w:rPr>
        <w:t>s</w:t>
      </w:r>
      <w:r w:rsidRPr="000A4D29">
        <w:rPr>
          <w:rFonts w:asciiTheme="minorHAnsi" w:eastAsiaTheme="minorHAnsi" w:hAnsiTheme="minorHAnsi" w:cstheme="minorHAnsi"/>
          <w:sz w:val="20"/>
        </w:rPr>
        <w:t xml:space="preserve"> ações </w:t>
      </w:r>
      <w:r w:rsidR="0063119D" w:rsidRPr="000A4D29">
        <w:rPr>
          <w:rFonts w:asciiTheme="minorHAnsi" w:eastAsiaTheme="minorHAnsi" w:hAnsiTheme="minorHAnsi" w:cstheme="minorHAnsi"/>
          <w:sz w:val="20"/>
        </w:rPr>
        <w:t xml:space="preserve">de Vigilância </w:t>
      </w:r>
      <w:r w:rsidR="00CF6DCD">
        <w:rPr>
          <w:rFonts w:asciiTheme="minorHAnsi" w:eastAsiaTheme="minorHAnsi" w:hAnsiTheme="minorHAnsi" w:cstheme="minorHAnsi"/>
          <w:sz w:val="20"/>
        </w:rPr>
        <w:t>seja estendida</w:t>
      </w:r>
      <w:r w:rsidRPr="000A4D29">
        <w:rPr>
          <w:rFonts w:asciiTheme="minorHAnsi" w:eastAsiaTheme="minorHAnsi" w:hAnsiTheme="minorHAnsi" w:cstheme="minorHAnsi"/>
          <w:sz w:val="20"/>
        </w:rPr>
        <w:t xml:space="preserve"> às áreas ampliadas, ou seja, </w:t>
      </w:r>
      <w:r w:rsidR="0063119D" w:rsidRPr="000A4D29">
        <w:rPr>
          <w:rFonts w:asciiTheme="minorHAnsi" w:eastAsiaTheme="minorHAnsi" w:hAnsiTheme="minorHAnsi" w:cstheme="minorHAnsi"/>
          <w:sz w:val="20"/>
        </w:rPr>
        <w:t xml:space="preserve">aos </w:t>
      </w:r>
      <w:r w:rsidRPr="000A4D29">
        <w:rPr>
          <w:rFonts w:asciiTheme="minorHAnsi" w:eastAsiaTheme="minorHAnsi" w:hAnsiTheme="minorHAnsi" w:cstheme="minorHAnsi"/>
          <w:sz w:val="20"/>
        </w:rPr>
        <w:t>municípios limítrofes da área afetada. N</w:t>
      </w:r>
      <w:r w:rsidR="00936AC2">
        <w:rPr>
          <w:rFonts w:asciiTheme="minorHAnsi" w:eastAsiaTheme="minorHAnsi" w:hAnsiTheme="minorHAnsi" w:cstheme="minorHAnsi"/>
          <w:sz w:val="20"/>
        </w:rPr>
        <w:t xml:space="preserve">este momento, considerando os </w:t>
      </w:r>
      <w:r w:rsidR="00D63C4C">
        <w:rPr>
          <w:rFonts w:asciiTheme="minorHAnsi" w:eastAsiaTheme="minorHAnsi" w:hAnsiTheme="minorHAnsi" w:cstheme="minorHAnsi"/>
          <w:sz w:val="20"/>
        </w:rPr>
        <w:t>22</w:t>
      </w:r>
      <w:r w:rsidRPr="000A4D29">
        <w:rPr>
          <w:rFonts w:asciiTheme="minorHAnsi" w:eastAsiaTheme="minorHAnsi" w:hAnsiTheme="minorHAnsi" w:cstheme="minorHAnsi"/>
          <w:sz w:val="20"/>
        </w:rPr>
        <w:t xml:space="preserve"> municípios da área afetada apresentados no quadro acima, a área ampliada é composta por </w:t>
      </w:r>
      <w:r w:rsidR="00D22077">
        <w:rPr>
          <w:rFonts w:asciiTheme="minorHAnsi" w:eastAsiaTheme="minorHAnsi" w:hAnsiTheme="minorHAnsi" w:cstheme="minorHAnsi"/>
          <w:sz w:val="20"/>
        </w:rPr>
        <w:t xml:space="preserve">71 </w:t>
      </w:r>
      <w:r w:rsidRPr="000A4D29">
        <w:rPr>
          <w:rFonts w:asciiTheme="minorHAnsi" w:eastAsiaTheme="minorHAnsi" w:hAnsiTheme="minorHAnsi" w:cstheme="minorHAnsi"/>
          <w:sz w:val="20"/>
        </w:rPr>
        <w:t xml:space="preserve">municípios, a saber: </w:t>
      </w:r>
    </w:p>
    <w:p w:rsidR="0063119D" w:rsidRPr="000A4D29" w:rsidRDefault="0063119D" w:rsidP="00101932">
      <w:pPr>
        <w:pStyle w:val="Corpodetexto"/>
        <w:rPr>
          <w:rFonts w:asciiTheme="minorHAnsi" w:eastAsiaTheme="minorHAnsi" w:hAnsiTheme="minorHAnsi" w:cstheme="minorHAnsi"/>
          <w:sz w:val="20"/>
        </w:rPr>
      </w:pPr>
    </w:p>
    <w:p w:rsidR="00D07A35" w:rsidRPr="000A4D29" w:rsidRDefault="00D07A35" w:rsidP="00D07A35">
      <w:pPr>
        <w:pStyle w:val="Corpodetexto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Municípios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límitrofes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 da área afetada, incluídos na área ampliada, por </w:t>
      </w:r>
      <w:r w:rsidR="000515DA">
        <w:rPr>
          <w:rFonts w:asciiTheme="minorHAnsi" w:eastAsiaTheme="minorHAnsi" w:hAnsiTheme="minorHAnsi" w:cstheme="minorHAnsi"/>
          <w:b/>
          <w:sz w:val="20"/>
        </w:rPr>
        <w:t>CRS</w:t>
      </w:r>
      <w:r w:rsidRPr="000A4D29">
        <w:rPr>
          <w:rFonts w:asciiTheme="minorHAnsi" w:eastAsiaTheme="minorHAnsi" w:hAnsiTheme="minorHAnsi" w:cstheme="minorHAnsi"/>
          <w:b/>
          <w:sz w:val="20"/>
        </w:rPr>
        <w:t>:</w:t>
      </w:r>
    </w:p>
    <w:p w:rsidR="00D07A35" w:rsidRPr="000A4D29" w:rsidRDefault="00D07A35" w:rsidP="00D07A35">
      <w:pPr>
        <w:pStyle w:val="Corpodetexto"/>
        <w:numPr>
          <w:ilvl w:val="0"/>
          <w:numId w:val="20"/>
        </w:numPr>
        <w:ind w:left="714" w:right="0" w:hanging="357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1ª CRS: Alvorada, Barra do Ribeiro, Cachoeirinha, Cambará do Sul, Canoas,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Dois Irmãos,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Eldorado do Sul, Guaíba,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Ivoti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Nova Santa Rita,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Presidente Lucena,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Riozinho,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Santa Maria do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Herval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São Francisco de Paula,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Sapiranga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>Taquara, Triunfo, Viamão.</w:t>
      </w:r>
    </w:p>
    <w:p w:rsidR="00D07A35" w:rsidRPr="000A4D29" w:rsidRDefault="00D07A35" w:rsidP="00D07A35">
      <w:pPr>
        <w:pStyle w:val="Corpodetexto"/>
        <w:numPr>
          <w:ilvl w:val="0"/>
          <w:numId w:val="20"/>
        </w:numPr>
        <w:ind w:left="714" w:right="0" w:hanging="357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lastRenderedPageBreak/>
        <w:t xml:space="preserve">5ª CRS: Alto Feliz, Bento Gonçalves,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Canela,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Carlos Barbosa, Flores da Cunha, Garibaldi,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Gramado,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Guabiju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>Nova Pádua,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 Nova Petrópolis,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Nova Prata, Nova Roma do Sul,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Picada Café,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Protásio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 Alves, São Jorge, São José dos Ausentes, Vale Real,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Veranópolis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>, Vila Flores.</w:t>
      </w:r>
    </w:p>
    <w:p w:rsidR="00D07A35" w:rsidRDefault="00D07A35" w:rsidP="00D07A35">
      <w:pPr>
        <w:pStyle w:val="Corpodetexto"/>
        <w:numPr>
          <w:ilvl w:val="0"/>
          <w:numId w:val="20"/>
        </w:numPr>
        <w:ind w:left="714" w:right="0" w:hanging="357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6ª CRS: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Água Santa,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Caseiros,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David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Canabarro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Gentil,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Ibiaçá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Ibiraiaras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Machadinho, Maximiliano de Almeida,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Muliterno</w:t>
      </w:r>
      <w:proofErr w:type="spellEnd"/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Sananduva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>Sant</w:t>
      </w:r>
      <w:r w:rsidR="00D22077">
        <w:rPr>
          <w:rFonts w:asciiTheme="minorHAnsi" w:eastAsiaTheme="minorHAnsi" w:hAnsiTheme="minorHAnsi" w:cstheme="minorHAnsi"/>
          <w:b/>
          <w:sz w:val="20"/>
        </w:rPr>
        <w:t>a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="00D22077">
        <w:rPr>
          <w:rFonts w:asciiTheme="minorHAnsi" w:eastAsiaTheme="minorHAnsi" w:hAnsiTheme="minorHAnsi" w:cstheme="minorHAnsi"/>
          <w:b/>
          <w:sz w:val="20"/>
        </w:rPr>
        <w:t>Cecília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 xml:space="preserve"> do Sul</w:t>
      </w:r>
      <w:r w:rsidR="00D22077">
        <w:rPr>
          <w:rFonts w:asciiTheme="minorHAnsi" w:eastAsiaTheme="minorHAnsi" w:hAnsiTheme="minorHAnsi" w:cstheme="minorHAnsi"/>
          <w:b/>
          <w:sz w:val="20"/>
        </w:rPr>
        <w:t>,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 xml:space="preserve"> Santo 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Antônio do Palma, 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Santo Expedito do Sul, </w:t>
      </w:r>
      <w:r w:rsidR="00D22077">
        <w:rPr>
          <w:rFonts w:asciiTheme="minorHAnsi" w:eastAsiaTheme="minorHAnsi" w:hAnsiTheme="minorHAnsi" w:cstheme="minorHAnsi"/>
          <w:b/>
          <w:sz w:val="20"/>
        </w:rPr>
        <w:t>São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="00D22077">
        <w:rPr>
          <w:rFonts w:asciiTheme="minorHAnsi" w:eastAsiaTheme="minorHAnsi" w:hAnsiTheme="minorHAnsi" w:cstheme="minorHAnsi"/>
          <w:b/>
          <w:sz w:val="20"/>
        </w:rPr>
        <w:t>Domingos</w:t>
      </w:r>
      <w:r w:rsidR="00BD1F3C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="00D22077" w:rsidRPr="000A4D29">
        <w:rPr>
          <w:rFonts w:asciiTheme="minorHAnsi" w:eastAsiaTheme="minorHAnsi" w:hAnsiTheme="minorHAnsi" w:cstheme="minorHAnsi"/>
          <w:b/>
          <w:sz w:val="20"/>
        </w:rPr>
        <w:t>do Sul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r w:rsidRPr="000A4D29">
        <w:rPr>
          <w:rFonts w:asciiTheme="minorHAnsi" w:eastAsiaTheme="minorHAnsi" w:hAnsiTheme="minorHAnsi" w:cstheme="minorHAnsi"/>
          <w:b/>
          <w:sz w:val="20"/>
        </w:rPr>
        <w:t xml:space="preserve">São José do Ouro,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Tupanci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 do Sul</w:t>
      </w:r>
      <w:r w:rsidR="00D22077">
        <w:rPr>
          <w:rFonts w:asciiTheme="minorHAnsi" w:eastAsiaTheme="minorHAnsi" w:hAnsiTheme="minorHAnsi" w:cstheme="minorHAnsi"/>
          <w:b/>
          <w:sz w:val="20"/>
        </w:rPr>
        <w:t xml:space="preserve">, </w:t>
      </w:r>
      <w:proofErr w:type="spellStart"/>
      <w:r w:rsidR="00D22077">
        <w:rPr>
          <w:rFonts w:asciiTheme="minorHAnsi" w:eastAsiaTheme="minorHAnsi" w:hAnsiTheme="minorHAnsi" w:cstheme="minorHAnsi"/>
          <w:b/>
          <w:sz w:val="20"/>
        </w:rPr>
        <w:t>Vanini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>.</w:t>
      </w:r>
    </w:p>
    <w:p w:rsidR="00D22077" w:rsidRPr="000A4D29" w:rsidRDefault="00D22077" w:rsidP="00D07A35">
      <w:pPr>
        <w:pStyle w:val="Corpodetexto"/>
        <w:numPr>
          <w:ilvl w:val="0"/>
          <w:numId w:val="20"/>
        </w:numPr>
        <w:ind w:left="714" w:right="0" w:hanging="357"/>
        <w:rPr>
          <w:rFonts w:asciiTheme="minorHAnsi" w:eastAsiaTheme="minorHAnsi" w:hAnsiTheme="minorHAnsi" w:cstheme="minorHAnsi"/>
          <w:b/>
          <w:sz w:val="20"/>
        </w:rPr>
      </w:pPr>
      <w:proofErr w:type="spellStart"/>
      <w:r>
        <w:rPr>
          <w:rFonts w:asciiTheme="minorHAnsi" w:eastAsiaTheme="minorHAnsi" w:hAnsiTheme="minorHAnsi" w:cstheme="minorHAnsi"/>
          <w:b/>
          <w:sz w:val="20"/>
        </w:rPr>
        <w:t>13ªCRS:</w:t>
      </w:r>
      <w:proofErr w:type="spellEnd"/>
      <w:r>
        <w:rPr>
          <w:rFonts w:asciiTheme="minorHAnsi" w:eastAsiaTheme="minorHAnsi" w:hAnsiTheme="minorHAnsi" w:cstheme="minorHAnsi"/>
          <w:b/>
          <w:sz w:val="20"/>
        </w:rPr>
        <w:t xml:space="preserve"> Passo do Sobrado, Rio Pardo, Sinimbu, Venâncio Aires e Vera Cruz. </w:t>
      </w:r>
    </w:p>
    <w:p w:rsidR="00D07A35" w:rsidRPr="000A4D29" w:rsidRDefault="00D07A35" w:rsidP="00D07A35">
      <w:pPr>
        <w:pStyle w:val="Corpodetexto"/>
        <w:numPr>
          <w:ilvl w:val="0"/>
          <w:numId w:val="20"/>
        </w:numPr>
        <w:ind w:left="714" w:right="0" w:hanging="357"/>
        <w:rPr>
          <w:rFonts w:asciiTheme="minorHAnsi" w:eastAsiaTheme="minorHAnsi" w:hAnsiTheme="minorHAnsi" w:cstheme="minorHAnsi"/>
          <w:b/>
          <w:sz w:val="20"/>
        </w:rPr>
      </w:pPr>
      <w:r w:rsidRPr="000A4D29">
        <w:rPr>
          <w:rFonts w:asciiTheme="minorHAnsi" w:eastAsiaTheme="minorHAnsi" w:hAnsiTheme="minorHAnsi" w:cstheme="minorHAnsi"/>
          <w:b/>
          <w:sz w:val="20"/>
        </w:rPr>
        <w:t xml:space="preserve">18ª CRS: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Caraá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Dom Pedro de Alcântara,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Itati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Mampituba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 xml:space="preserve">, </w:t>
      </w:r>
      <w:proofErr w:type="spellStart"/>
      <w:r w:rsidRPr="000A4D29">
        <w:rPr>
          <w:rFonts w:asciiTheme="minorHAnsi" w:eastAsiaTheme="minorHAnsi" w:hAnsiTheme="minorHAnsi" w:cstheme="minorHAnsi"/>
          <w:b/>
          <w:sz w:val="20"/>
        </w:rPr>
        <w:t>Maquiné</w:t>
      </w:r>
      <w:proofErr w:type="spellEnd"/>
      <w:r w:rsidRPr="000A4D29">
        <w:rPr>
          <w:rFonts w:asciiTheme="minorHAnsi" w:eastAsiaTheme="minorHAnsi" w:hAnsiTheme="minorHAnsi" w:cstheme="minorHAnsi"/>
          <w:b/>
          <w:sz w:val="20"/>
        </w:rPr>
        <w:t>, Morrinhos do Sul, Osório, Santo Antônio da Patrulha, Terra de Areia, Torres, Três Cachoeiras, Três Forquilhas.</w:t>
      </w:r>
    </w:p>
    <w:p w:rsidR="00D07A35" w:rsidRPr="000A4D29" w:rsidRDefault="00D07A35" w:rsidP="00101932">
      <w:pPr>
        <w:pStyle w:val="Corpodetexto"/>
        <w:rPr>
          <w:rFonts w:asciiTheme="minorHAnsi" w:eastAsiaTheme="minorHAnsi" w:hAnsiTheme="minorHAnsi" w:cstheme="minorHAnsi"/>
          <w:sz w:val="20"/>
        </w:rPr>
      </w:pPr>
    </w:p>
    <w:p w:rsidR="00936AC2" w:rsidRDefault="00D07A35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b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t>Diante</w:t>
      </w:r>
      <w:r w:rsidR="00E06867" w:rsidRPr="000A4D29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0A4D29">
        <w:rPr>
          <w:rFonts w:cstheme="minorHAnsi"/>
          <w:color w:val="000000"/>
          <w:sz w:val="20"/>
          <w:szCs w:val="20"/>
          <w:lang w:eastAsia="pt-BR"/>
        </w:rPr>
        <w:t>d</w:t>
      </w:r>
      <w:r w:rsidR="00E06867" w:rsidRPr="000A4D29">
        <w:rPr>
          <w:rFonts w:cstheme="minorHAnsi"/>
          <w:color w:val="000000"/>
          <w:sz w:val="20"/>
          <w:szCs w:val="20"/>
          <w:lang w:eastAsia="pt-BR"/>
        </w:rPr>
        <w:t xml:space="preserve">a situação aqui apresentada, orienta-se </w:t>
      </w:r>
      <w:r w:rsidR="00936AC2">
        <w:rPr>
          <w:rFonts w:cstheme="minorHAnsi"/>
          <w:color w:val="000000"/>
          <w:sz w:val="20"/>
          <w:szCs w:val="20"/>
          <w:lang w:eastAsia="pt-BR"/>
        </w:rPr>
        <w:t>o início imediato de ações de intensificação</w:t>
      </w:r>
      <w:r w:rsidR="00E06867" w:rsidRPr="000A4D29">
        <w:rPr>
          <w:rFonts w:cstheme="minorHAnsi"/>
          <w:color w:val="000000"/>
          <w:sz w:val="20"/>
          <w:szCs w:val="20"/>
          <w:lang w:eastAsia="pt-BR"/>
        </w:rPr>
        <w:t xml:space="preserve"> da vacinação de febre amarela, nos município</w:t>
      </w:r>
      <w:r w:rsidR="00724611">
        <w:rPr>
          <w:rFonts w:cstheme="minorHAnsi"/>
          <w:color w:val="000000"/>
          <w:sz w:val="20"/>
          <w:szCs w:val="20"/>
          <w:lang w:eastAsia="pt-BR"/>
        </w:rPr>
        <w:t xml:space="preserve">s que </w:t>
      </w:r>
      <w:r w:rsidR="00936AC2">
        <w:rPr>
          <w:rFonts w:cstheme="minorHAnsi"/>
          <w:color w:val="000000"/>
          <w:sz w:val="20"/>
          <w:szCs w:val="20"/>
          <w:lang w:eastAsia="pt-BR"/>
        </w:rPr>
        <w:t>fazem parte da</w:t>
      </w:r>
      <w:r w:rsidR="00724611" w:rsidRPr="00724611">
        <w:rPr>
          <w:rFonts w:cstheme="minorHAnsi"/>
          <w:b/>
          <w:color w:val="000000"/>
          <w:sz w:val="20"/>
          <w:szCs w:val="20"/>
          <w:lang w:eastAsia="pt-BR"/>
        </w:rPr>
        <w:t xml:space="preserve"> área afetada, </w:t>
      </w:r>
      <w:r w:rsidR="00936AC2" w:rsidRPr="00936AC2">
        <w:rPr>
          <w:rFonts w:cstheme="minorHAnsi"/>
          <w:color w:val="000000"/>
          <w:sz w:val="20"/>
          <w:szCs w:val="20"/>
          <w:lang w:eastAsia="pt-BR"/>
        </w:rPr>
        <w:t>d</w:t>
      </w:r>
      <w:r w:rsidR="00E06867" w:rsidRPr="00936AC2">
        <w:rPr>
          <w:rFonts w:cstheme="minorHAnsi"/>
          <w:color w:val="000000"/>
          <w:sz w:val="20"/>
          <w:szCs w:val="20"/>
          <w:lang w:eastAsia="pt-BR"/>
        </w:rPr>
        <w:t>a</w:t>
      </w:r>
      <w:r w:rsidR="00E06867" w:rsidRPr="00724611">
        <w:rPr>
          <w:rFonts w:cstheme="minorHAnsi"/>
          <w:b/>
          <w:color w:val="000000"/>
          <w:sz w:val="20"/>
          <w:szCs w:val="20"/>
          <w:lang w:eastAsia="pt-BR"/>
        </w:rPr>
        <w:t xml:space="preserve"> área ampliada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 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 xml:space="preserve">e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também 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 xml:space="preserve">aqueles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com </w:t>
      </w:r>
      <w:r w:rsidR="007F4936" w:rsidRPr="00724611">
        <w:rPr>
          <w:rFonts w:cstheme="minorHAnsi"/>
          <w:b/>
          <w:color w:val="000000"/>
          <w:sz w:val="20"/>
          <w:szCs w:val="20"/>
          <w:lang w:eastAsia="pt-BR"/>
        </w:rPr>
        <w:t xml:space="preserve">coberturas 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 xml:space="preserve">vacinais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>abaixo de 50%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>, conforme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 dados disponibilizados pelo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 xml:space="preserve"> Ministério da Saúde,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enviados em tabela 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 xml:space="preserve">para consulta junto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a </w:t>
      </w:r>
      <w:r w:rsidR="00724611">
        <w:rPr>
          <w:rFonts w:cstheme="minorHAnsi"/>
          <w:b/>
          <w:color w:val="000000"/>
          <w:sz w:val="20"/>
          <w:szCs w:val="20"/>
          <w:lang w:eastAsia="pt-BR"/>
        </w:rPr>
        <w:t>este documento</w:t>
      </w:r>
      <w:r w:rsidR="00724611" w:rsidRPr="00724611">
        <w:rPr>
          <w:rFonts w:cstheme="minorHAnsi"/>
          <w:b/>
          <w:color w:val="000000"/>
          <w:sz w:val="20"/>
          <w:szCs w:val="20"/>
          <w:lang w:eastAsia="pt-BR"/>
        </w:rPr>
        <w:t xml:space="preserve">.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>Os demais municípios devem avaliar a possibilidade de iniciar a estratégia considerando seus percentuais de cobertura vacinal e a proximidade com municípios da área afetada ou ampliada, visto que este cenário está se modificando com rapidez e o número de municípios com epizootia confirmada está aumentando.</w:t>
      </w:r>
    </w:p>
    <w:p w:rsidR="0063119D" w:rsidRPr="000515DA" w:rsidRDefault="00C7269E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515DA">
        <w:rPr>
          <w:rFonts w:cstheme="minorHAnsi"/>
          <w:color w:val="000000"/>
          <w:sz w:val="20"/>
          <w:szCs w:val="20"/>
          <w:lang w:eastAsia="pt-BR"/>
        </w:rPr>
        <w:t xml:space="preserve">Ressaltamos que </w:t>
      </w:r>
      <w:r w:rsidR="00CF6DCD" w:rsidRPr="000515DA">
        <w:rPr>
          <w:rFonts w:cstheme="minorHAnsi"/>
          <w:color w:val="000000"/>
          <w:sz w:val="20"/>
          <w:szCs w:val="20"/>
          <w:lang w:eastAsia="pt-BR"/>
        </w:rPr>
        <w:t xml:space="preserve">diante da divulgação  nos veículos de comunicação </w:t>
      </w:r>
      <w:r w:rsidRPr="000515DA">
        <w:rPr>
          <w:rFonts w:cstheme="minorHAnsi"/>
          <w:color w:val="000000"/>
          <w:sz w:val="20"/>
          <w:szCs w:val="20"/>
          <w:lang w:eastAsia="pt-BR"/>
        </w:rPr>
        <w:t xml:space="preserve"> sobre a ocorrência de epizootias confirmadas por febre amarela no estado, </w:t>
      </w:r>
      <w:r w:rsidR="00936AC2" w:rsidRPr="000515DA">
        <w:rPr>
          <w:rFonts w:cstheme="minorHAnsi"/>
          <w:color w:val="000000"/>
          <w:sz w:val="20"/>
          <w:szCs w:val="20"/>
          <w:lang w:eastAsia="pt-BR"/>
        </w:rPr>
        <w:t>pode haver o</w:t>
      </w:r>
      <w:r w:rsidRPr="000515DA">
        <w:rPr>
          <w:rFonts w:cstheme="minorHAnsi"/>
          <w:color w:val="000000"/>
          <w:sz w:val="20"/>
          <w:szCs w:val="20"/>
          <w:lang w:eastAsia="pt-BR"/>
        </w:rPr>
        <w:t xml:space="preserve"> aumento da demanda espontânea </w:t>
      </w:r>
      <w:r w:rsidR="00936AC2" w:rsidRPr="000515DA">
        <w:rPr>
          <w:rFonts w:cstheme="minorHAnsi"/>
          <w:color w:val="000000"/>
          <w:sz w:val="20"/>
          <w:szCs w:val="20"/>
          <w:lang w:eastAsia="pt-BR"/>
        </w:rPr>
        <w:t>para vacinação</w:t>
      </w:r>
      <w:r w:rsidRPr="000515DA">
        <w:rPr>
          <w:rFonts w:cstheme="minorHAnsi"/>
          <w:color w:val="000000"/>
          <w:sz w:val="20"/>
          <w:szCs w:val="20"/>
          <w:lang w:eastAsia="pt-BR"/>
        </w:rPr>
        <w:t xml:space="preserve"> nas Unidades de Saúde.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 xml:space="preserve"> </w:t>
      </w:r>
      <w:r w:rsidR="00936AC2" w:rsidRPr="000515DA">
        <w:rPr>
          <w:rFonts w:cstheme="minorHAnsi"/>
          <w:color w:val="000000"/>
          <w:sz w:val="20"/>
          <w:szCs w:val="20"/>
          <w:lang w:eastAsia="pt-BR"/>
        </w:rPr>
        <w:t>Mesmo os municípios que não iniciarem a intensificação, portanto, devem se preparar para esse possível aumento de demanda.</w:t>
      </w:r>
    </w:p>
    <w:p w:rsidR="00BD0DB7" w:rsidRPr="000A4D29" w:rsidRDefault="00BD0DB7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b/>
          <w:color w:val="000000"/>
          <w:sz w:val="20"/>
          <w:szCs w:val="20"/>
          <w:lang w:eastAsia="pt-BR"/>
        </w:rPr>
        <w:t xml:space="preserve">As ações de intensificação </w:t>
      </w:r>
      <w:r w:rsidR="00936AC2">
        <w:rPr>
          <w:rFonts w:cstheme="minorHAnsi"/>
          <w:b/>
          <w:color w:val="000000"/>
          <w:sz w:val="20"/>
          <w:szCs w:val="20"/>
          <w:lang w:eastAsia="pt-BR"/>
        </w:rPr>
        <w:t>serão</w:t>
      </w:r>
      <w:r w:rsidRPr="000A4D29">
        <w:rPr>
          <w:rFonts w:cstheme="minorHAnsi"/>
          <w:b/>
          <w:color w:val="000000"/>
          <w:sz w:val="20"/>
          <w:szCs w:val="20"/>
          <w:lang w:eastAsia="pt-BR"/>
        </w:rPr>
        <w:t xml:space="preserve"> realizadas principalmente junto aos moradores de áreas rurais e silvestres, com o objetivo de ampliar as coberturas vacinais nestes locais e reduzir a possibilidade da ocorrência de casos humanos da doença. 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A vacinação é seletiva, ou seja, deve-se buscar pessoas </w:t>
      </w:r>
      <w:proofErr w:type="spellStart"/>
      <w:r w:rsidRPr="000A4D29">
        <w:rPr>
          <w:rFonts w:cstheme="minorHAnsi"/>
          <w:color w:val="000000"/>
          <w:sz w:val="20"/>
          <w:szCs w:val="20"/>
          <w:lang w:eastAsia="pt-BR"/>
        </w:rPr>
        <w:t>não-vacinadas</w:t>
      </w:r>
      <w:proofErr w:type="spellEnd"/>
      <w:r w:rsidRPr="000A4D29">
        <w:rPr>
          <w:rFonts w:cstheme="minorHAnsi"/>
          <w:color w:val="000000"/>
          <w:sz w:val="20"/>
          <w:szCs w:val="20"/>
          <w:lang w:eastAsia="pt-BR"/>
        </w:rPr>
        <w:t>, conforme indicações do calendário de rotina.</w:t>
      </w:r>
      <w:r w:rsidR="00EB282A" w:rsidRPr="000A4D29">
        <w:rPr>
          <w:rFonts w:cstheme="minorHAnsi"/>
          <w:color w:val="000000"/>
          <w:sz w:val="20"/>
          <w:szCs w:val="20"/>
          <w:lang w:eastAsia="pt-BR"/>
        </w:rPr>
        <w:t xml:space="preserve"> Indivíduos sem comprovação da vacinação são considerados </w:t>
      </w:r>
      <w:proofErr w:type="spellStart"/>
      <w:r w:rsidR="00EB282A" w:rsidRPr="000A4D29">
        <w:rPr>
          <w:rFonts w:cstheme="minorHAnsi"/>
          <w:color w:val="000000"/>
          <w:sz w:val="20"/>
          <w:szCs w:val="20"/>
          <w:lang w:eastAsia="pt-BR"/>
        </w:rPr>
        <w:t>não-vacinados</w:t>
      </w:r>
      <w:proofErr w:type="spellEnd"/>
      <w:r w:rsidR="00EB282A" w:rsidRPr="000A4D29">
        <w:rPr>
          <w:rFonts w:cstheme="minorHAnsi"/>
          <w:color w:val="000000"/>
          <w:sz w:val="20"/>
          <w:szCs w:val="20"/>
          <w:lang w:eastAsia="pt-BR"/>
        </w:rPr>
        <w:t>.</w:t>
      </w:r>
    </w:p>
    <w:p w:rsidR="00D07A35" w:rsidRPr="000A4D29" w:rsidRDefault="00D07A35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080C96" w:rsidRPr="000A4D29" w:rsidRDefault="00D07A35" w:rsidP="00080C96">
      <w:pPr>
        <w:autoSpaceDE w:val="0"/>
        <w:autoSpaceDN w:val="0"/>
        <w:adjustRightInd w:val="0"/>
        <w:spacing w:line="360" w:lineRule="auto"/>
        <w:ind w:left="198" w:right="74"/>
        <w:jc w:val="both"/>
        <w:rPr>
          <w:rFonts w:cstheme="minorHAnsi"/>
          <w:b/>
          <w:sz w:val="20"/>
          <w:szCs w:val="20"/>
          <w:u w:val="single"/>
        </w:rPr>
      </w:pPr>
      <w:r w:rsidRPr="000A4D29">
        <w:rPr>
          <w:rFonts w:cstheme="minorHAnsi"/>
          <w:b/>
          <w:sz w:val="20"/>
          <w:szCs w:val="20"/>
          <w:u w:val="single"/>
        </w:rPr>
        <w:t>Vacina de Febre Amarela</w:t>
      </w:r>
      <w:r w:rsidR="00616033" w:rsidRPr="000A4D29">
        <w:rPr>
          <w:rFonts w:cstheme="minorHAnsi"/>
          <w:b/>
          <w:sz w:val="20"/>
          <w:szCs w:val="20"/>
          <w:u w:val="single"/>
        </w:rPr>
        <w:t xml:space="preserve"> - Esquema vacinal</w:t>
      </w:r>
    </w:p>
    <w:p w:rsidR="00080C96" w:rsidRPr="000A4D29" w:rsidRDefault="00D07A35" w:rsidP="00080C9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74" w:hanging="357"/>
        <w:jc w:val="both"/>
        <w:rPr>
          <w:rFonts w:cstheme="minorHAnsi"/>
          <w:sz w:val="20"/>
          <w:szCs w:val="20"/>
        </w:rPr>
      </w:pPr>
      <w:r w:rsidRPr="000A4D29">
        <w:rPr>
          <w:rFonts w:cstheme="minorHAnsi"/>
          <w:b/>
          <w:bCs/>
          <w:sz w:val="20"/>
          <w:szCs w:val="20"/>
        </w:rPr>
        <w:t xml:space="preserve">Dose: </w:t>
      </w:r>
      <w:r w:rsidRPr="000A4D29">
        <w:rPr>
          <w:rFonts w:cstheme="minorHAnsi"/>
          <w:sz w:val="20"/>
          <w:szCs w:val="20"/>
        </w:rPr>
        <w:t>0,5ml - por via subcutânea.</w:t>
      </w:r>
    </w:p>
    <w:p w:rsidR="00616033" w:rsidRPr="000A4D29" w:rsidRDefault="00D07A35" w:rsidP="00080C9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74" w:hanging="357"/>
        <w:jc w:val="both"/>
        <w:rPr>
          <w:rFonts w:cstheme="minorHAnsi"/>
          <w:sz w:val="20"/>
          <w:szCs w:val="20"/>
        </w:rPr>
      </w:pPr>
      <w:r w:rsidRPr="000A4D29">
        <w:rPr>
          <w:rFonts w:cstheme="minorHAnsi"/>
          <w:b/>
          <w:bCs/>
          <w:sz w:val="20"/>
          <w:szCs w:val="20"/>
        </w:rPr>
        <w:t xml:space="preserve">Esquema: </w:t>
      </w:r>
    </w:p>
    <w:p w:rsidR="00616033" w:rsidRPr="000A4D29" w:rsidRDefault="00080C96" w:rsidP="00080C96">
      <w:pPr>
        <w:pStyle w:val="Default"/>
        <w:ind w:left="709" w:right="7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D29">
        <w:rPr>
          <w:rFonts w:asciiTheme="minorHAnsi" w:eastAsiaTheme="minorHAnsi" w:hAnsiTheme="minorHAnsi" w:cstheme="minorHAnsi"/>
          <w:b/>
          <w:bCs/>
          <w:sz w:val="20"/>
          <w:szCs w:val="20"/>
        </w:rPr>
        <w:lastRenderedPageBreak/>
        <w:tab/>
        <w:t xml:space="preserve">- </w:t>
      </w:r>
      <w:r w:rsidR="00616033" w:rsidRPr="000A4D2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Dos 09 meses aos 4 anos, 11 meses e 29 dias: </w:t>
      </w:r>
      <w:r w:rsidR="00616033" w:rsidRPr="000A4D29">
        <w:rPr>
          <w:rFonts w:asciiTheme="minorHAnsi" w:eastAsiaTheme="minorHAnsi" w:hAnsiTheme="minorHAnsi" w:cstheme="minorHAnsi"/>
          <w:b/>
          <w:bCs/>
          <w:sz w:val="20"/>
          <w:szCs w:val="20"/>
        </w:rPr>
        <w:tab/>
      </w:r>
      <w:r w:rsidR="00616033" w:rsidRPr="000A4D29">
        <w:rPr>
          <w:rFonts w:asciiTheme="minorHAnsi" w:eastAsiaTheme="minorHAnsi" w:hAnsiTheme="minorHAnsi" w:cstheme="minorHAnsi"/>
          <w:sz w:val="20"/>
          <w:szCs w:val="20"/>
        </w:rPr>
        <w:t>administrar uma dose aos nove meses de idade e um reforço aos quatro anos.</w:t>
      </w:r>
    </w:p>
    <w:p w:rsidR="00616033" w:rsidRPr="000A4D29" w:rsidRDefault="00616033" w:rsidP="00080C96">
      <w:pPr>
        <w:pStyle w:val="Default"/>
        <w:ind w:left="709" w:right="7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D29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080C96" w:rsidRPr="000A4D29">
        <w:rPr>
          <w:rFonts w:asciiTheme="minorHAnsi" w:eastAsiaTheme="minorHAnsi" w:hAnsiTheme="minorHAnsi" w:cstheme="minorHAnsi"/>
          <w:b/>
          <w:sz w:val="20"/>
          <w:szCs w:val="20"/>
        </w:rPr>
        <w:tab/>
        <w:t xml:space="preserve">- </w:t>
      </w:r>
      <w:r w:rsidRPr="000A4D29">
        <w:rPr>
          <w:rFonts w:asciiTheme="minorHAnsi" w:eastAsiaTheme="minorHAnsi" w:hAnsiTheme="minorHAnsi" w:cstheme="minorHAnsi"/>
          <w:b/>
          <w:sz w:val="20"/>
          <w:szCs w:val="20"/>
        </w:rPr>
        <w:t>Pessoas a partir dos cinco anos de idade, não vacinadas:</w:t>
      </w:r>
      <w:r w:rsidRPr="000A4D29">
        <w:rPr>
          <w:rFonts w:asciiTheme="minorHAnsi" w:eastAsiaTheme="minorHAnsi" w:hAnsiTheme="minorHAnsi" w:cstheme="minorHAnsi"/>
          <w:sz w:val="20"/>
          <w:szCs w:val="20"/>
        </w:rPr>
        <w:t xml:space="preserve"> administrar dose única.</w:t>
      </w:r>
    </w:p>
    <w:p w:rsidR="00080C96" w:rsidRPr="000A4D29" w:rsidRDefault="00080C96" w:rsidP="00080C96">
      <w:p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i/>
          <w:sz w:val="20"/>
          <w:szCs w:val="20"/>
        </w:rPr>
      </w:pPr>
      <w:r w:rsidRPr="000A4D29">
        <w:rPr>
          <w:rFonts w:cstheme="minorHAnsi"/>
          <w:i/>
          <w:sz w:val="20"/>
          <w:szCs w:val="20"/>
        </w:rPr>
        <w:tab/>
      </w:r>
      <w:r w:rsidR="00365559" w:rsidRPr="000A4D29">
        <w:rPr>
          <w:rFonts w:cstheme="minorHAnsi"/>
          <w:i/>
          <w:sz w:val="20"/>
          <w:szCs w:val="20"/>
        </w:rPr>
        <w:t>Vale ressaltar que, no intuito de resgatar as crianças que tenham recebido até o ano de 2017 apenas uma dose da vacina antes de completar 5 (cinco) anos de idade, essa criança deverá receber a dose de reforço.</w:t>
      </w:r>
    </w:p>
    <w:p w:rsidR="00080C96" w:rsidRPr="000A4D29" w:rsidRDefault="00D07A35" w:rsidP="00080C9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A4D29">
        <w:rPr>
          <w:rFonts w:cstheme="minorHAnsi"/>
          <w:b/>
          <w:sz w:val="20"/>
          <w:szCs w:val="20"/>
        </w:rPr>
        <w:t xml:space="preserve">Precauções </w:t>
      </w:r>
      <w:r w:rsidR="00EC3B9A" w:rsidRPr="000A4D29">
        <w:rPr>
          <w:rFonts w:cstheme="minorHAnsi"/>
          <w:b/>
          <w:sz w:val="20"/>
          <w:szCs w:val="20"/>
        </w:rPr>
        <w:t>para a vacinação em áreas de circulação viral confirmada</w:t>
      </w:r>
      <w:r w:rsidRPr="000A4D29">
        <w:rPr>
          <w:rFonts w:cstheme="minorHAnsi"/>
          <w:b/>
          <w:sz w:val="20"/>
          <w:szCs w:val="20"/>
        </w:rPr>
        <w:t>:</w:t>
      </w:r>
      <w:r w:rsidRPr="000A4D29">
        <w:rPr>
          <w:rFonts w:cstheme="minorHAnsi"/>
          <w:sz w:val="20"/>
          <w:szCs w:val="20"/>
        </w:rPr>
        <w:t xml:space="preserve"> </w:t>
      </w:r>
      <w:r w:rsidR="00EC3B9A" w:rsidRPr="000A4D29">
        <w:rPr>
          <w:rFonts w:cstheme="minorHAnsi"/>
          <w:b/>
          <w:bCs/>
          <w:sz w:val="20"/>
          <w:szCs w:val="20"/>
        </w:rPr>
        <w:t xml:space="preserve"> Para pessoas com 60 anos ou mais, que nunca foram vacinadas ou sem comprovante de vacinação, </w:t>
      </w:r>
      <w:r w:rsidR="00EC3B9A" w:rsidRPr="000A4D29">
        <w:rPr>
          <w:rFonts w:cstheme="minorHAnsi"/>
          <w:sz w:val="20"/>
          <w:szCs w:val="20"/>
        </w:rPr>
        <w:t xml:space="preserve">um médico deverá avaliar a relação de risco/benefício da vacinação, considerando o risco da doença e o risco de eventos adversos pós-vacinação nessa faixa etária e/ou decorrentes de comorbidades. </w:t>
      </w:r>
      <w:r w:rsidR="00616033" w:rsidRPr="000A4D29">
        <w:rPr>
          <w:rFonts w:cstheme="minorHAnsi"/>
          <w:b/>
          <w:sz w:val="20"/>
          <w:szCs w:val="20"/>
        </w:rPr>
        <w:t>P</w:t>
      </w:r>
      <w:r w:rsidRPr="000A4D29">
        <w:rPr>
          <w:rFonts w:cstheme="minorHAnsi"/>
          <w:b/>
          <w:sz w:val="20"/>
          <w:szCs w:val="20"/>
        </w:rPr>
        <w:t>ara gestantes e mulheres que estejam amamentand</w:t>
      </w:r>
      <w:r w:rsidR="00616033" w:rsidRPr="000A4D29">
        <w:rPr>
          <w:rFonts w:cstheme="minorHAnsi"/>
          <w:b/>
          <w:sz w:val="20"/>
          <w:szCs w:val="20"/>
        </w:rPr>
        <w:t>o crianças menores de 06 meses</w:t>
      </w:r>
      <w:r w:rsidR="00616033" w:rsidRPr="000A4D29">
        <w:rPr>
          <w:rFonts w:cstheme="minorHAnsi"/>
          <w:sz w:val="20"/>
          <w:szCs w:val="20"/>
        </w:rPr>
        <w:t xml:space="preserve">, </w:t>
      </w:r>
      <w:r w:rsidRPr="000A4D29">
        <w:rPr>
          <w:rFonts w:cstheme="minorHAnsi"/>
          <w:sz w:val="20"/>
          <w:szCs w:val="20"/>
        </w:rPr>
        <w:t xml:space="preserve">um médico deverá avaliar a relação de risco/benefício da vacinação. </w:t>
      </w:r>
      <w:r w:rsidRPr="000A4D29">
        <w:rPr>
          <w:rFonts w:cstheme="minorHAnsi"/>
          <w:b/>
          <w:sz w:val="20"/>
          <w:szCs w:val="20"/>
        </w:rPr>
        <w:t xml:space="preserve">Em mulheres que estejam amamentando e </w:t>
      </w:r>
      <w:r w:rsidR="00616033" w:rsidRPr="000A4D29">
        <w:rPr>
          <w:rFonts w:cstheme="minorHAnsi"/>
          <w:b/>
          <w:sz w:val="20"/>
          <w:szCs w:val="20"/>
        </w:rPr>
        <w:t xml:space="preserve">tenham </w:t>
      </w:r>
      <w:r w:rsidRPr="000A4D29">
        <w:rPr>
          <w:rFonts w:cstheme="minorHAnsi"/>
          <w:b/>
          <w:sz w:val="20"/>
          <w:szCs w:val="20"/>
        </w:rPr>
        <w:t>a vacina</w:t>
      </w:r>
      <w:r w:rsidR="00616033" w:rsidRPr="000A4D29">
        <w:rPr>
          <w:rFonts w:cstheme="minorHAnsi"/>
          <w:b/>
          <w:sz w:val="20"/>
          <w:szCs w:val="20"/>
        </w:rPr>
        <w:t>ção indicada</w:t>
      </w:r>
      <w:r w:rsidRPr="000A4D29">
        <w:rPr>
          <w:rFonts w:cstheme="minorHAnsi"/>
          <w:b/>
          <w:sz w:val="20"/>
          <w:szCs w:val="20"/>
        </w:rPr>
        <w:t>, o aleitamento materno deve ser suspenso por</w:t>
      </w:r>
      <w:r w:rsidR="00616033" w:rsidRPr="000A4D29">
        <w:rPr>
          <w:rFonts w:cstheme="minorHAnsi"/>
          <w:b/>
          <w:sz w:val="20"/>
          <w:szCs w:val="20"/>
        </w:rPr>
        <w:t>, no mínimo,</w:t>
      </w:r>
      <w:r w:rsidRPr="000A4D29">
        <w:rPr>
          <w:rFonts w:cstheme="minorHAnsi"/>
          <w:b/>
          <w:sz w:val="20"/>
          <w:szCs w:val="20"/>
        </w:rPr>
        <w:t xml:space="preserve"> 10 dias.</w:t>
      </w:r>
      <w:r w:rsidRPr="000A4D29">
        <w:rPr>
          <w:rFonts w:cstheme="minorHAnsi"/>
          <w:sz w:val="20"/>
          <w:szCs w:val="20"/>
        </w:rPr>
        <w:t xml:space="preserve"> </w:t>
      </w:r>
      <w:r w:rsidR="00EB282A" w:rsidRPr="000A4D29">
        <w:rPr>
          <w:rFonts w:cstheme="minorHAnsi"/>
          <w:sz w:val="20"/>
          <w:szCs w:val="20"/>
        </w:rPr>
        <w:t>N</w:t>
      </w:r>
      <w:r w:rsidRPr="000A4D29">
        <w:rPr>
          <w:rFonts w:cstheme="minorHAnsi"/>
          <w:sz w:val="20"/>
          <w:szCs w:val="20"/>
        </w:rPr>
        <w:t>ão há indicação de vacinação para crianças de 06 a 08 meses de idade</w:t>
      </w:r>
      <w:r w:rsidR="00EC3B9A" w:rsidRPr="000A4D29">
        <w:rPr>
          <w:rFonts w:cstheme="minorHAnsi"/>
          <w:sz w:val="20"/>
          <w:szCs w:val="20"/>
        </w:rPr>
        <w:t xml:space="preserve"> nessas áreas</w:t>
      </w:r>
      <w:r w:rsidRPr="000A4D29">
        <w:rPr>
          <w:rFonts w:cstheme="minorHAnsi"/>
          <w:sz w:val="20"/>
          <w:szCs w:val="20"/>
        </w:rPr>
        <w:t>. Pessoas portadoras de comorbidades deverão ser avaliadas pelo seu médico assistente.</w:t>
      </w:r>
    </w:p>
    <w:p w:rsidR="00080C96" w:rsidRPr="000A4D29" w:rsidRDefault="00365559" w:rsidP="00080C9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A4D29">
        <w:rPr>
          <w:rFonts w:cstheme="minorHAnsi"/>
          <w:b/>
          <w:sz w:val="20"/>
          <w:szCs w:val="20"/>
        </w:rPr>
        <w:t>V</w:t>
      </w:r>
      <w:r w:rsidR="00EB282A" w:rsidRPr="000A4D29">
        <w:rPr>
          <w:rFonts w:cstheme="minorHAnsi"/>
          <w:b/>
          <w:sz w:val="20"/>
          <w:szCs w:val="20"/>
        </w:rPr>
        <w:t xml:space="preserve">acinação </w:t>
      </w:r>
      <w:r w:rsidRPr="000A4D29">
        <w:rPr>
          <w:rFonts w:cstheme="minorHAnsi"/>
          <w:b/>
          <w:sz w:val="20"/>
          <w:szCs w:val="20"/>
        </w:rPr>
        <w:t xml:space="preserve">simultânea e intervalos de aplicação com outras vacinas: </w:t>
      </w:r>
      <w:r w:rsidR="000515DA">
        <w:rPr>
          <w:rFonts w:cstheme="minorHAnsi"/>
          <w:sz w:val="20"/>
          <w:szCs w:val="20"/>
        </w:rPr>
        <w:t>C</w:t>
      </w:r>
      <w:r w:rsidRPr="000A4D29">
        <w:rPr>
          <w:rFonts w:cstheme="minorHAnsi"/>
          <w:sz w:val="20"/>
          <w:szCs w:val="20"/>
        </w:rPr>
        <w:t xml:space="preserve">om vacinas inativadas, </w:t>
      </w:r>
      <w:r w:rsidR="000515DA">
        <w:rPr>
          <w:rFonts w:cstheme="minorHAnsi"/>
          <w:sz w:val="20"/>
          <w:szCs w:val="20"/>
        </w:rPr>
        <w:t>a vacina de febre amarela pode ser aplicada</w:t>
      </w:r>
      <w:r w:rsidRPr="000A4D29">
        <w:rPr>
          <w:rFonts w:cstheme="minorHAnsi"/>
          <w:sz w:val="20"/>
          <w:szCs w:val="20"/>
        </w:rPr>
        <w:t xml:space="preserve"> simultaneamente ou com qualquer intervalo entre as doses. </w:t>
      </w:r>
      <w:r w:rsidRPr="000515DA">
        <w:rPr>
          <w:rFonts w:cstheme="minorHAnsi"/>
          <w:b/>
          <w:sz w:val="20"/>
          <w:szCs w:val="20"/>
        </w:rPr>
        <w:t>Para a aplicação com outras vacinas de vírus vivos injetáveis</w:t>
      </w:r>
      <w:r w:rsidR="00EC3B9A" w:rsidRPr="000515DA">
        <w:rPr>
          <w:rFonts w:cstheme="minorHAnsi"/>
          <w:b/>
          <w:sz w:val="20"/>
          <w:szCs w:val="20"/>
        </w:rPr>
        <w:t>, a</w:t>
      </w:r>
      <w:r w:rsidR="000515DA" w:rsidRPr="000515DA">
        <w:rPr>
          <w:rFonts w:cstheme="minorHAnsi"/>
          <w:b/>
          <w:sz w:val="20"/>
          <w:szCs w:val="20"/>
        </w:rPr>
        <w:t xml:space="preserve"> aplicação deve ser simultânea </w:t>
      </w:r>
      <w:r w:rsidR="00EC3B9A" w:rsidRPr="000515DA">
        <w:rPr>
          <w:rFonts w:cstheme="minorHAnsi"/>
          <w:b/>
          <w:sz w:val="20"/>
          <w:szCs w:val="20"/>
        </w:rPr>
        <w:t>ou com 14 dias de intervalo.</w:t>
      </w:r>
      <w:r w:rsidR="00EC3B9A" w:rsidRPr="000A4D29">
        <w:rPr>
          <w:rFonts w:cstheme="minorHAnsi"/>
          <w:sz w:val="20"/>
          <w:szCs w:val="20"/>
        </w:rPr>
        <w:t xml:space="preserve"> </w:t>
      </w:r>
      <w:r w:rsidR="000515DA">
        <w:rPr>
          <w:rFonts w:cstheme="minorHAnsi"/>
          <w:sz w:val="20"/>
          <w:szCs w:val="20"/>
        </w:rPr>
        <w:t>Em</w:t>
      </w:r>
      <w:r w:rsidR="00EC3B9A" w:rsidRPr="000A4D29">
        <w:rPr>
          <w:rFonts w:cstheme="minorHAnsi"/>
          <w:sz w:val="20"/>
          <w:szCs w:val="20"/>
        </w:rPr>
        <w:t xml:space="preserve"> crianças </w:t>
      </w:r>
      <w:proofErr w:type="spellStart"/>
      <w:r w:rsidR="00EC3B9A" w:rsidRPr="000A4D29">
        <w:rPr>
          <w:rFonts w:cstheme="minorHAnsi"/>
          <w:sz w:val="20"/>
          <w:szCs w:val="20"/>
        </w:rPr>
        <w:t>primovacinadas</w:t>
      </w:r>
      <w:proofErr w:type="spellEnd"/>
      <w:r w:rsidR="00EC3B9A" w:rsidRPr="000A4D29">
        <w:rPr>
          <w:rFonts w:cstheme="minorHAnsi"/>
          <w:sz w:val="20"/>
          <w:szCs w:val="20"/>
        </w:rPr>
        <w:t xml:space="preserve"> com febr</w:t>
      </w:r>
      <w:r w:rsidR="000515DA">
        <w:rPr>
          <w:rFonts w:cstheme="minorHAnsi"/>
          <w:sz w:val="20"/>
          <w:szCs w:val="20"/>
        </w:rPr>
        <w:t xml:space="preserve">e amarela ou tríplice viral, </w:t>
      </w:r>
      <w:r w:rsidR="00EC3B9A" w:rsidRPr="000A4D29">
        <w:rPr>
          <w:rFonts w:cstheme="minorHAnsi"/>
          <w:sz w:val="20"/>
          <w:szCs w:val="20"/>
        </w:rPr>
        <w:t xml:space="preserve">menores de 2 anos de idade, </w:t>
      </w:r>
      <w:r w:rsidR="000515DA">
        <w:rPr>
          <w:rFonts w:cstheme="minorHAnsi"/>
          <w:sz w:val="20"/>
          <w:szCs w:val="20"/>
        </w:rPr>
        <w:t xml:space="preserve">deve-se </w:t>
      </w:r>
      <w:r w:rsidR="00EC3B9A" w:rsidRPr="000A4D29">
        <w:rPr>
          <w:rFonts w:cstheme="minorHAnsi"/>
          <w:sz w:val="20"/>
          <w:szCs w:val="20"/>
        </w:rPr>
        <w:t xml:space="preserve">administrar com 04 semanas de intervalo. </w:t>
      </w:r>
      <w:r w:rsidR="00EC3B9A" w:rsidRPr="000A4D29">
        <w:rPr>
          <w:rFonts w:cstheme="minorHAnsi"/>
          <w:b/>
          <w:sz w:val="20"/>
          <w:szCs w:val="20"/>
        </w:rPr>
        <w:t xml:space="preserve">Com a vacina de COVID-19, </w:t>
      </w:r>
      <w:r w:rsidR="000515DA">
        <w:rPr>
          <w:rFonts w:cstheme="minorHAnsi"/>
          <w:b/>
          <w:sz w:val="20"/>
          <w:szCs w:val="20"/>
        </w:rPr>
        <w:t xml:space="preserve">deve-se </w:t>
      </w:r>
      <w:r w:rsidR="00EC3B9A" w:rsidRPr="000A4D29">
        <w:rPr>
          <w:rFonts w:cstheme="minorHAnsi"/>
          <w:b/>
          <w:sz w:val="20"/>
          <w:szCs w:val="20"/>
        </w:rPr>
        <w:t>respeitar 14 dias de intervalo, sendo contraindicada a vacinação simultânea.</w:t>
      </w:r>
    </w:p>
    <w:p w:rsidR="00080C96" w:rsidRPr="000A4D29" w:rsidRDefault="00EC3B9A" w:rsidP="00080C9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b/>
          <w:sz w:val="20"/>
          <w:szCs w:val="20"/>
        </w:rPr>
      </w:pPr>
      <w:r w:rsidRPr="000A4D29">
        <w:rPr>
          <w:rFonts w:cstheme="minorHAnsi"/>
          <w:b/>
          <w:sz w:val="20"/>
          <w:szCs w:val="20"/>
        </w:rPr>
        <w:t>Contraindicações:</w:t>
      </w:r>
      <w:r w:rsidRPr="000A4D29">
        <w:rPr>
          <w:rFonts w:cstheme="minorHAnsi"/>
          <w:sz w:val="20"/>
          <w:szCs w:val="20"/>
        </w:rPr>
        <w:t xml:space="preserve"> crianças menores de 06 meses, pacientes com imunodepressão de qualquer natureza (transplantados, portadores de neoplasia, </w:t>
      </w:r>
      <w:proofErr w:type="spellStart"/>
      <w:r w:rsidRPr="000A4D29">
        <w:rPr>
          <w:rFonts w:cstheme="minorHAnsi"/>
          <w:sz w:val="20"/>
          <w:szCs w:val="20"/>
        </w:rPr>
        <w:t>etc</w:t>
      </w:r>
      <w:proofErr w:type="spellEnd"/>
      <w:r w:rsidRPr="000A4D29">
        <w:rPr>
          <w:rFonts w:cstheme="minorHAnsi"/>
          <w:sz w:val="20"/>
          <w:szCs w:val="20"/>
        </w:rPr>
        <w:t xml:space="preserve">), história de reação </w:t>
      </w:r>
      <w:r w:rsidR="00080C96" w:rsidRPr="000A4D29">
        <w:rPr>
          <w:rFonts w:cstheme="minorHAnsi"/>
          <w:sz w:val="20"/>
          <w:szCs w:val="20"/>
        </w:rPr>
        <w:t xml:space="preserve">de hipersensibilidade grave </w:t>
      </w:r>
      <w:r w:rsidRPr="000A4D29">
        <w:rPr>
          <w:rFonts w:cstheme="minorHAnsi"/>
          <w:sz w:val="20"/>
          <w:szCs w:val="20"/>
        </w:rPr>
        <w:t xml:space="preserve">relacionada a substâncias presentes na vacina, história de </w:t>
      </w:r>
      <w:r w:rsidRPr="000A4D29">
        <w:rPr>
          <w:rFonts w:cstheme="minorHAnsi"/>
          <w:b/>
          <w:sz w:val="20"/>
          <w:szCs w:val="20"/>
        </w:rPr>
        <w:t>anafilaxia</w:t>
      </w:r>
      <w:r w:rsidR="00080C96" w:rsidRPr="000A4D29">
        <w:rPr>
          <w:rFonts w:cstheme="minorHAnsi"/>
          <w:sz w:val="20"/>
          <w:szCs w:val="20"/>
        </w:rPr>
        <w:t xml:space="preserve"> a</w:t>
      </w:r>
      <w:r w:rsidRPr="000A4D29">
        <w:rPr>
          <w:rFonts w:cstheme="minorHAnsi"/>
          <w:sz w:val="20"/>
          <w:szCs w:val="20"/>
        </w:rPr>
        <w:t xml:space="preserve"> ovo de galinha. </w:t>
      </w:r>
      <w:r w:rsidR="00080C96" w:rsidRPr="000A4D29">
        <w:rPr>
          <w:rFonts w:cstheme="minorHAnsi"/>
          <w:b/>
          <w:sz w:val="20"/>
          <w:szCs w:val="20"/>
        </w:rPr>
        <w:t>OUTRAS REAÇÕES AO OVO DE GALINHA, QUE NÃO CARACTERIZAM ANAFILAXIA, NÃO EXIGEM PRECAUÇÃO NA ADMINISTRAÇÃO.</w:t>
      </w:r>
    </w:p>
    <w:p w:rsidR="00D07A35" w:rsidRPr="000A4D29" w:rsidRDefault="00D07A35" w:rsidP="00365559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D07A35" w:rsidRPr="000A4D29" w:rsidRDefault="0014787A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  <w:r>
        <w:rPr>
          <w:rFonts w:cstheme="minorHAnsi"/>
          <w:color w:val="000000"/>
          <w:sz w:val="20"/>
          <w:szCs w:val="20"/>
          <w:lang w:eastAsia="pt-BR"/>
        </w:rPr>
        <w:t xml:space="preserve">Para a 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ampliação das coberturas vacinais, especialmente entre as pessoas que residem em áreas rurais ou silvestres, </w:t>
      </w:r>
      <w:r>
        <w:rPr>
          <w:rFonts w:cstheme="minorHAnsi"/>
          <w:color w:val="000000"/>
          <w:sz w:val="20"/>
          <w:szCs w:val="20"/>
          <w:lang w:eastAsia="pt-BR"/>
        </w:rPr>
        <w:t>pode-se organizar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 estratégias especiais que possibilitem o acesso </w:t>
      </w:r>
      <w:r w:rsidR="000515DA">
        <w:rPr>
          <w:rFonts w:cstheme="minorHAnsi"/>
          <w:color w:val="000000"/>
          <w:sz w:val="20"/>
          <w:szCs w:val="20"/>
          <w:lang w:eastAsia="pt-BR"/>
        </w:rPr>
        <w:t xml:space="preserve">às 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>áreas remota</w:t>
      </w:r>
      <w:r>
        <w:rPr>
          <w:rFonts w:cstheme="minorHAnsi"/>
          <w:color w:val="000000"/>
          <w:sz w:val="20"/>
          <w:szCs w:val="20"/>
          <w:lang w:eastAsia="pt-BR"/>
        </w:rPr>
        <w:t xml:space="preserve">s, como a vacinação </w:t>
      </w:r>
      <w:proofErr w:type="spellStart"/>
      <w:r>
        <w:rPr>
          <w:rFonts w:cstheme="minorHAnsi"/>
          <w:color w:val="000000"/>
          <w:sz w:val="20"/>
          <w:szCs w:val="20"/>
          <w:lang w:eastAsia="pt-BR"/>
        </w:rPr>
        <w:t>casa-a-casa</w:t>
      </w:r>
      <w:proofErr w:type="spellEnd"/>
      <w:r>
        <w:rPr>
          <w:rFonts w:cstheme="minorHAnsi"/>
          <w:color w:val="000000"/>
          <w:sz w:val="20"/>
          <w:szCs w:val="20"/>
          <w:lang w:eastAsia="pt-BR"/>
        </w:rPr>
        <w:t>, os censos vacinais, ou Dias D (dia de mobilização). Além disso, o Programa Estadual de Imunizações também recomenda:</w:t>
      </w:r>
    </w:p>
    <w:p w:rsidR="00D07A35" w:rsidRPr="000A4D29" w:rsidRDefault="00D07A35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tab/>
        <w:t xml:space="preserve">- divulgar para a população a necessidade de se vacinar contra a febre amarela e </w:t>
      </w:r>
      <w:r w:rsidR="00CF6DCD">
        <w:rPr>
          <w:rFonts w:cstheme="minorHAnsi"/>
          <w:color w:val="000000"/>
          <w:sz w:val="20"/>
          <w:szCs w:val="20"/>
          <w:lang w:eastAsia="pt-BR"/>
        </w:rPr>
        <w:t xml:space="preserve">de 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manter seus </w:t>
      </w:r>
      <w:r w:rsidR="00CF6DCD">
        <w:rPr>
          <w:rFonts w:cstheme="minorHAnsi"/>
          <w:color w:val="000000"/>
          <w:sz w:val="20"/>
          <w:szCs w:val="20"/>
          <w:lang w:eastAsia="pt-BR"/>
        </w:rPr>
        <w:t>comprovante</w:t>
      </w:r>
      <w:r w:rsidRPr="000A4D29">
        <w:rPr>
          <w:rFonts w:cstheme="minorHAnsi"/>
          <w:color w:val="000000"/>
          <w:sz w:val="20"/>
          <w:szCs w:val="20"/>
          <w:lang w:eastAsia="pt-BR"/>
        </w:rPr>
        <w:t>s</w:t>
      </w:r>
      <w:r w:rsidR="00CF6DCD">
        <w:rPr>
          <w:rFonts w:cstheme="minorHAnsi"/>
          <w:color w:val="000000"/>
          <w:sz w:val="20"/>
          <w:szCs w:val="20"/>
          <w:lang w:eastAsia="pt-BR"/>
        </w:rPr>
        <w:t xml:space="preserve"> de vacinação</w:t>
      </w:r>
      <w:r w:rsidRPr="000A4D29">
        <w:rPr>
          <w:rFonts w:cstheme="minorHAnsi"/>
          <w:color w:val="000000"/>
          <w:sz w:val="20"/>
          <w:szCs w:val="20"/>
          <w:lang w:eastAsia="pt-BR"/>
        </w:rPr>
        <w:t>;</w:t>
      </w:r>
    </w:p>
    <w:p w:rsidR="00D07A35" w:rsidRDefault="00D07A35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lastRenderedPageBreak/>
        <w:tab/>
        <w:t>- realizar, com periodicidade, a avaliação dos quantitativos dos insumos utilizados na vacinação (vacina de febre amarela, diluentes, seringas e agulhas</w:t>
      </w:r>
      <w:r w:rsidR="00CF6DCD">
        <w:rPr>
          <w:rFonts w:cstheme="minorHAnsi"/>
          <w:color w:val="000000"/>
          <w:sz w:val="20"/>
          <w:szCs w:val="20"/>
          <w:lang w:eastAsia="pt-BR"/>
        </w:rPr>
        <w:t xml:space="preserve"> para aplicação de vacinas por via subcutânea</w:t>
      </w:r>
      <w:r w:rsidRPr="000A4D29">
        <w:rPr>
          <w:rFonts w:cstheme="minorHAnsi"/>
          <w:color w:val="000000"/>
          <w:sz w:val="20"/>
          <w:szCs w:val="20"/>
          <w:lang w:eastAsia="pt-BR"/>
        </w:rPr>
        <w:t>);</w:t>
      </w:r>
    </w:p>
    <w:p w:rsidR="00596A48" w:rsidRDefault="00596A48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  <w:r>
        <w:rPr>
          <w:rFonts w:cstheme="minorHAnsi"/>
          <w:color w:val="000000"/>
          <w:sz w:val="20"/>
          <w:szCs w:val="20"/>
          <w:lang w:eastAsia="pt-BR"/>
        </w:rPr>
        <w:tab/>
        <w:t>- avaliar os relatórios disponíveis nos sistemas de informação para acompanhamento das coberturas vacinais e tomada de decisão oportuna com vistas à ampliação dessas coberturas.</w:t>
      </w:r>
    </w:p>
    <w:p w:rsidR="00596A48" w:rsidRDefault="00596A48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596A48" w:rsidRPr="000A4D29" w:rsidRDefault="00596A48" w:rsidP="00596A48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Ressaltamos a importância do registro nominal </w:t>
      </w:r>
      <w:r w:rsidR="000515DA" w:rsidRPr="000A4D29">
        <w:rPr>
          <w:rFonts w:cstheme="minorHAnsi"/>
          <w:color w:val="000000"/>
          <w:sz w:val="20"/>
          <w:szCs w:val="20"/>
          <w:lang w:eastAsia="pt-BR"/>
        </w:rPr>
        <w:t xml:space="preserve">das vacinas aplicadas durante o período </w:t>
      </w:r>
      <w:r w:rsidRPr="000A4D29">
        <w:rPr>
          <w:rFonts w:cstheme="minorHAnsi"/>
          <w:color w:val="000000"/>
          <w:sz w:val="20"/>
          <w:szCs w:val="20"/>
          <w:lang w:eastAsia="pt-BR"/>
        </w:rPr>
        <w:t>no Sistema de Informação em uso corrente. Além de permitir a atualização das doses aplicadas no estado e a avaliação de coberturas, o registro nominal permite a comprovação vacinal, evitando revacinações desnecessárias. Relembramos a importância, inclusive, das buscas pelo</w:t>
      </w:r>
      <w:r w:rsidR="00C87D08">
        <w:rPr>
          <w:rFonts w:cstheme="minorHAnsi"/>
          <w:color w:val="000000"/>
          <w:sz w:val="20"/>
          <w:szCs w:val="20"/>
          <w:lang w:eastAsia="pt-BR"/>
        </w:rPr>
        <w:t>s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 histórico</w:t>
      </w:r>
      <w:r w:rsidR="00C87D08">
        <w:rPr>
          <w:rFonts w:cstheme="minorHAnsi"/>
          <w:color w:val="000000"/>
          <w:sz w:val="20"/>
          <w:szCs w:val="20"/>
          <w:lang w:eastAsia="pt-BR"/>
        </w:rPr>
        <w:t>s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 vacina</w:t>
      </w:r>
      <w:r w:rsidR="00C87D08">
        <w:rPr>
          <w:rFonts w:cstheme="minorHAnsi"/>
          <w:color w:val="000000"/>
          <w:sz w:val="20"/>
          <w:szCs w:val="20"/>
          <w:lang w:eastAsia="pt-BR"/>
        </w:rPr>
        <w:t>is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 das pessoas que já se encontram vacinadas, </w:t>
      </w:r>
      <w:r w:rsidR="000515DA">
        <w:rPr>
          <w:rFonts w:cstheme="minorHAnsi"/>
          <w:color w:val="000000"/>
          <w:sz w:val="20"/>
          <w:szCs w:val="20"/>
          <w:lang w:eastAsia="pt-BR"/>
        </w:rPr>
        <w:t xml:space="preserve">e </w:t>
      </w: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que apresentaram seu comprovante, registrando essas doses no sistema de informação como </w:t>
      </w:r>
      <w:r w:rsidRPr="000A4D29">
        <w:rPr>
          <w:rFonts w:cstheme="minorHAnsi"/>
          <w:b/>
          <w:color w:val="000000"/>
          <w:sz w:val="20"/>
          <w:szCs w:val="20"/>
          <w:lang w:eastAsia="pt-BR"/>
        </w:rPr>
        <w:t xml:space="preserve">"Registro </w:t>
      </w:r>
      <w:r>
        <w:rPr>
          <w:rFonts w:cstheme="minorHAnsi"/>
          <w:b/>
          <w:color w:val="000000"/>
          <w:sz w:val="20"/>
          <w:szCs w:val="20"/>
          <w:lang w:eastAsia="pt-BR"/>
        </w:rPr>
        <w:t>Tardio</w:t>
      </w:r>
      <w:r w:rsidRPr="000A4D29">
        <w:rPr>
          <w:rFonts w:cstheme="minorHAnsi"/>
          <w:b/>
          <w:color w:val="000000"/>
          <w:sz w:val="20"/>
          <w:szCs w:val="20"/>
          <w:lang w:eastAsia="pt-BR"/>
        </w:rPr>
        <w:t>"</w:t>
      </w:r>
      <w:r w:rsidRPr="000A4D29">
        <w:rPr>
          <w:rFonts w:cstheme="minorHAnsi"/>
          <w:color w:val="000000"/>
          <w:sz w:val="20"/>
          <w:szCs w:val="20"/>
          <w:lang w:eastAsia="pt-BR"/>
        </w:rPr>
        <w:t>.</w:t>
      </w:r>
    </w:p>
    <w:p w:rsidR="00596A48" w:rsidRDefault="00596A48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4822E1" w:rsidRDefault="004822E1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  <w:r>
        <w:rPr>
          <w:rFonts w:cstheme="minorHAnsi"/>
          <w:color w:val="000000"/>
          <w:sz w:val="20"/>
          <w:szCs w:val="20"/>
          <w:lang w:eastAsia="pt-BR"/>
        </w:rPr>
        <w:t>Além do registro nominal no sistema de informação, solicita-se o envio da planilha com os dados numéricos consolidados por município. O servidor ou a servidora responsável pelo Programa de Imunizações da CRS deve receber estas planilhas por e-mail, e enviá-las ao CEVS. Não é necessário fazer o consolidado por CRS.</w:t>
      </w:r>
    </w:p>
    <w:p w:rsidR="004822E1" w:rsidRPr="000A4D29" w:rsidRDefault="004822E1" w:rsidP="00EC3B9A">
      <w:pPr>
        <w:autoSpaceDE w:val="0"/>
        <w:autoSpaceDN w:val="0"/>
        <w:adjustRightInd w:val="0"/>
        <w:spacing w:after="0" w:line="240" w:lineRule="auto"/>
        <w:ind w:right="74"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D07A35" w:rsidRPr="000A4D29" w:rsidRDefault="00596A48" w:rsidP="00EC3B9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cstheme="minorHAnsi"/>
          <w:color w:val="000000"/>
          <w:sz w:val="20"/>
          <w:szCs w:val="20"/>
          <w:lang w:eastAsia="pt-BR"/>
        </w:rPr>
      </w:pPr>
      <w:r>
        <w:rPr>
          <w:rFonts w:cstheme="minorHAnsi"/>
          <w:color w:val="000000"/>
          <w:sz w:val="20"/>
          <w:szCs w:val="20"/>
          <w:lang w:eastAsia="pt-BR"/>
        </w:rPr>
        <w:t xml:space="preserve">Aos gestores </w:t>
      </w:r>
      <w:r w:rsidR="004822E1">
        <w:rPr>
          <w:rFonts w:cstheme="minorHAnsi"/>
          <w:color w:val="000000"/>
          <w:sz w:val="20"/>
          <w:szCs w:val="20"/>
          <w:lang w:eastAsia="pt-BR"/>
        </w:rPr>
        <w:t xml:space="preserve">e gestoras </w:t>
      </w:r>
      <w:r>
        <w:rPr>
          <w:rFonts w:cstheme="minorHAnsi"/>
          <w:color w:val="000000"/>
          <w:sz w:val="20"/>
          <w:szCs w:val="20"/>
          <w:lang w:eastAsia="pt-BR"/>
        </w:rPr>
        <w:t>municipais, solicitamos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 a disponibilização dos subsídios necessários ao </w:t>
      </w:r>
      <w:r w:rsidR="000A0796">
        <w:rPr>
          <w:rFonts w:cstheme="minorHAnsi"/>
          <w:color w:val="000000"/>
          <w:sz w:val="20"/>
          <w:szCs w:val="20"/>
          <w:lang w:eastAsia="pt-BR"/>
        </w:rPr>
        <w:t xml:space="preserve">desenvolvimento das atividades de vacinação, como o 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deslocamento pelas áreas rurais e silvestres para o trabalho de campo, à garantia da vacinação dos </w:t>
      </w:r>
      <w:proofErr w:type="spellStart"/>
      <w:r w:rsidR="00D07A35" w:rsidRPr="000A4D29">
        <w:rPr>
          <w:rFonts w:cstheme="minorHAnsi"/>
          <w:color w:val="000000"/>
          <w:sz w:val="20"/>
          <w:szCs w:val="20"/>
          <w:lang w:eastAsia="pt-BR"/>
        </w:rPr>
        <w:t>não-vacinados</w:t>
      </w:r>
      <w:proofErr w:type="spellEnd"/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 e à comunicação com a população-alvo. </w:t>
      </w:r>
      <w:r w:rsidR="000A0796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="00D07A35" w:rsidRPr="000A4D29">
        <w:rPr>
          <w:rFonts w:cstheme="minorHAnsi"/>
          <w:color w:val="000000"/>
          <w:sz w:val="20"/>
          <w:szCs w:val="20"/>
          <w:lang w:eastAsia="pt-BR"/>
        </w:rPr>
        <w:t xml:space="preserve">A febre amarela é uma doença grave, com altas taxas de letalidade, mas passível de ser controlada com ações de Vigilância, especialmente através da vacinação. </w:t>
      </w:r>
      <w:r w:rsidR="000A0796">
        <w:rPr>
          <w:rFonts w:cstheme="minorHAnsi"/>
          <w:color w:val="000000"/>
          <w:sz w:val="20"/>
          <w:szCs w:val="20"/>
          <w:lang w:eastAsia="pt-BR"/>
        </w:rPr>
        <w:t>Com a situação imposta pela pandemia de COVID-19, resultando em sobrecarga dos serviços de saúde</w:t>
      </w:r>
      <w:r w:rsidR="00037222">
        <w:rPr>
          <w:rFonts w:cstheme="minorHAnsi"/>
          <w:color w:val="000000"/>
          <w:sz w:val="20"/>
          <w:szCs w:val="20"/>
          <w:lang w:eastAsia="pt-BR"/>
        </w:rPr>
        <w:t xml:space="preserve"> de maior complexidade</w:t>
      </w:r>
      <w:r w:rsidR="000A0796">
        <w:rPr>
          <w:rFonts w:cstheme="minorHAnsi"/>
          <w:color w:val="000000"/>
          <w:sz w:val="20"/>
          <w:szCs w:val="20"/>
          <w:lang w:eastAsia="pt-BR"/>
        </w:rPr>
        <w:t xml:space="preserve">, prevenir casos humanos de febre amarela através da vacinação </w:t>
      </w:r>
      <w:r w:rsidR="00C1636A">
        <w:rPr>
          <w:rFonts w:cstheme="minorHAnsi"/>
          <w:color w:val="000000"/>
          <w:sz w:val="20"/>
          <w:szCs w:val="20"/>
          <w:lang w:eastAsia="pt-BR"/>
        </w:rPr>
        <w:t>consiste em</w:t>
      </w:r>
      <w:r w:rsidR="000A0796">
        <w:rPr>
          <w:rFonts w:cstheme="minorHAnsi"/>
          <w:color w:val="000000"/>
          <w:sz w:val="20"/>
          <w:szCs w:val="20"/>
          <w:lang w:eastAsia="pt-BR"/>
        </w:rPr>
        <w:t xml:space="preserve"> uma medida simples e de baixo custo</w:t>
      </w:r>
      <w:r w:rsidR="00C1636A">
        <w:rPr>
          <w:rFonts w:cstheme="minorHAnsi"/>
          <w:color w:val="000000"/>
          <w:sz w:val="20"/>
          <w:szCs w:val="20"/>
          <w:lang w:eastAsia="pt-BR"/>
        </w:rPr>
        <w:t xml:space="preserve">, impossibilitando que haja </w:t>
      </w:r>
      <w:r w:rsidR="00037222">
        <w:rPr>
          <w:rFonts w:cstheme="minorHAnsi"/>
          <w:color w:val="000000"/>
          <w:sz w:val="20"/>
          <w:szCs w:val="20"/>
          <w:lang w:eastAsia="pt-BR"/>
        </w:rPr>
        <w:t xml:space="preserve">mais </w:t>
      </w:r>
      <w:r w:rsidR="00C1636A">
        <w:rPr>
          <w:rFonts w:cstheme="minorHAnsi"/>
          <w:color w:val="000000"/>
          <w:sz w:val="20"/>
          <w:szCs w:val="20"/>
          <w:lang w:eastAsia="pt-BR"/>
        </w:rPr>
        <w:t xml:space="preserve">uma </w:t>
      </w:r>
      <w:r w:rsidR="00037222">
        <w:rPr>
          <w:rFonts w:cstheme="minorHAnsi"/>
          <w:color w:val="000000"/>
          <w:sz w:val="20"/>
          <w:szCs w:val="20"/>
          <w:lang w:eastAsia="pt-BR"/>
        </w:rPr>
        <w:t>demanda para</w:t>
      </w:r>
      <w:r w:rsidR="00C1636A">
        <w:rPr>
          <w:rFonts w:cstheme="minorHAnsi"/>
          <w:color w:val="000000"/>
          <w:sz w:val="20"/>
          <w:szCs w:val="20"/>
          <w:lang w:eastAsia="pt-BR"/>
        </w:rPr>
        <w:t xml:space="preserve"> um sistema de saúde já fragilizado. </w:t>
      </w:r>
    </w:p>
    <w:p w:rsidR="00D07A35" w:rsidRPr="000A4D29" w:rsidRDefault="00D07A35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</w:p>
    <w:p w:rsidR="0063119D" w:rsidRDefault="00BD0DB7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color w:val="000000"/>
          <w:sz w:val="20"/>
          <w:szCs w:val="20"/>
          <w:lang w:eastAsia="pt-BR"/>
        </w:rPr>
      </w:pPr>
      <w:r w:rsidRPr="000A4D29">
        <w:rPr>
          <w:rFonts w:cstheme="minorHAnsi"/>
          <w:color w:val="000000"/>
          <w:sz w:val="20"/>
          <w:szCs w:val="20"/>
          <w:lang w:eastAsia="pt-BR"/>
        </w:rPr>
        <w:t xml:space="preserve">Esta nota será atualizada conforme a inclusão de outros municípios na área afetada e área ampliada. </w:t>
      </w:r>
    </w:p>
    <w:p w:rsidR="008310C5" w:rsidRPr="000A4D29" w:rsidRDefault="00C1636A" w:rsidP="00101932">
      <w:p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  <w:lang w:eastAsia="pt-BR"/>
        </w:rPr>
        <w:t xml:space="preserve">Contamos </w:t>
      </w:r>
      <w:r w:rsidR="008310C5" w:rsidRPr="000A4D29">
        <w:rPr>
          <w:rFonts w:cstheme="minorHAnsi"/>
          <w:color w:val="000000"/>
          <w:sz w:val="20"/>
          <w:szCs w:val="20"/>
          <w:lang w:eastAsia="pt-BR"/>
        </w:rPr>
        <w:t xml:space="preserve">com o esforço de todos e sem mais para o momento, </w:t>
      </w:r>
      <w:r w:rsidR="008310C5" w:rsidRPr="000A4D29">
        <w:rPr>
          <w:rFonts w:cstheme="minorHAnsi"/>
          <w:sz w:val="20"/>
          <w:szCs w:val="20"/>
        </w:rPr>
        <w:t xml:space="preserve">                                                                         </w:t>
      </w:r>
    </w:p>
    <w:p w:rsidR="008310C5" w:rsidRPr="000A4D29" w:rsidRDefault="008310C5" w:rsidP="00101932">
      <w:pPr>
        <w:tabs>
          <w:tab w:val="left" w:pos="1051"/>
        </w:tabs>
        <w:spacing w:after="0" w:line="240" w:lineRule="auto"/>
        <w:ind w:right="641"/>
        <w:contextualSpacing/>
        <w:jc w:val="center"/>
        <w:rPr>
          <w:rFonts w:cstheme="minorHAnsi"/>
          <w:sz w:val="20"/>
          <w:szCs w:val="20"/>
        </w:rPr>
      </w:pPr>
    </w:p>
    <w:p w:rsidR="008310C5" w:rsidRPr="000A4D29" w:rsidRDefault="008310C5" w:rsidP="00D34D08">
      <w:pPr>
        <w:tabs>
          <w:tab w:val="left" w:pos="1051"/>
        </w:tabs>
        <w:spacing w:after="0" w:line="240" w:lineRule="auto"/>
        <w:ind w:right="641"/>
        <w:contextualSpacing/>
        <w:jc w:val="center"/>
        <w:rPr>
          <w:rFonts w:cstheme="minorHAnsi"/>
          <w:sz w:val="20"/>
          <w:szCs w:val="20"/>
        </w:rPr>
      </w:pPr>
      <w:proofErr w:type="spellStart"/>
      <w:r w:rsidRPr="000A4D29">
        <w:rPr>
          <w:rFonts w:cstheme="minorHAnsi"/>
          <w:sz w:val="20"/>
          <w:szCs w:val="20"/>
        </w:rPr>
        <w:t>Tani</w:t>
      </w:r>
      <w:proofErr w:type="spellEnd"/>
      <w:r w:rsidRPr="000A4D29">
        <w:rPr>
          <w:rFonts w:cstheme="minorHAnsi"/>
          <w:sz w:val="20"/>
          <w:szCs w:val="20"/>
        </w:rPr>
        <w:t xml:space="preserve"> Maria </w:t>
      </w:r>
      <w:proofErr w:type="spellStart"/>
      <w:r w:rsidRPr="000A4D29">
        <w:rPr>
          <w:rFonts w:cstheme="minorHAnsi"/>
          <w:sz w:val="20"/>
          <w:szCs w:val="20"/>
        </w:rPr>
        <w:t>Schilling</w:t>
      </w:r>
      <w:proofErr w:type="spellEnd"/>
      <w:r w:rsidRPr="000A4D29">
        <w:rPr>
          <w:rFonts w:cstheme="minorHAnsi"/>
          <w:sz w:val="20"/>
          <w:szCs w:val="20"/>
        </w:rPr>
        <w:t xml:space="preserve"> Ranieri</w:t>
      </w:r>
    </w:p>
    <w:p w:rsidR="008310C5" w:rsidRPr="000A4D29" w:rsidRDefault="008310C5" w:rsidP="00D34D08">
      <w:pPr>
        <w:tabs>
          <w:tab w:val="left" w:pos="1051"/>
        </w:tabs>
        <w:spacing w:after="0" w:line="240" w:lineRule="auto"/>
        <w:ind w:right="641"/>
        <w:contextualSpacing/>
        <w:jc w:val="center"/>
        <w:rPr>
          <w:rFonts w:cstheme="minorHAnsi"/>
          <w:sz w:val="20"/>
          <w:szCs w:val="20"/>
        </w:rPr>
      </w:pPr>
      <w:r w:rsidRPr="000A4D29">
        <w:rPr>
          <w:rFonts w:cstheme="minorHAnsi"/>
          <w:sz w:val="20"/>
          <w:szCs w:val="20"/>
        </w:rPr>
        <w:t>Chefe da Divisão de Vig. Epidemiológica - CEVS/SES-RS</w:t>
      </w:r>
    </w:p>
    <w:p w:rsidR="008310C5" w:rsidRPr="000A4D29" w:rsidRDefault="008310C5" w:rsidP="00D34D08">
      <w:pPr>
        <w:tabs>
          <w:tab w:val="left" w:pos="1051"/>
        </w:tabs>
        <w:spacing w:after="0" w:line="240" w:lineRule="auto"/>
        <w:ind w:right="641"/>
        <w:contextualSpacing/>
        <w:jc w:val="center"/>
        <w:rPr>
          <w:rFonts w:cstheme="minorHAnsi"/>
          <w:sz w:val="20"/>
          <w:szCs w:val="20"/>
        </w:rPr>
      </w:pPr>
      <w:r w:rsidRPr="000A4D29">
        <w:rPr>
          <w:rFonts w:cstheme="minorHAnsi"/>
          <w:sz w:val="20"/>
          <w:szCs w:val="20"/>
        </w:rPr>
        <w:t>Coordenadora do Programa Estadual de Imunizações</w:t>
      </w:r>
    </w:p>
    <w:sectPr w:rsidR="008310C5" w:rsidRPr="000A4D29" w:rsidSect="00F34540">
      <w:headerReference w:type="default" r:id="rId7"/>
      <w:footerReference w:type="default" r:id="rId8"/>
      <w:pgSz w:w="11906" w:h="16838"/>
      <w:pgMar w:top="98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A8" w:rsidRDefault="001109A8" w:rsidP="00403C04">
      <w:pPr>
        <w:spacing w:after="0" w:line="240" w:lineRule="auto"/>
      </w:pPr>
      <w:r>
        <w:separator/>
      </w:r>
    </w:p>
  </w:endnote>
  <w:endnote w:type="continuationSeparator" w:id="0">
    <w:p w:rsidR="001109A8" w:rsidRDefault="001109A8" w:rsidP="0040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904" w:type="dxa"/>
      <w:tblLook w:val="04A0"/>
    </w:tblPr>
    <w:tblGrid>
      <w:gridCol w:w="2147"/>
      <w:gridCol w:w="6896"/>
      <w:gridCol w:w="2087"/>
    </w:tblGrid>
    <w:tr w:rsidR="00403C04" w:rsidRPr="00804697" w:rsidTr="00253273">
      <w:trPr>
        <w:trHeight w:val="449"/>
      </w:trPr>
      <w:tc>
        <w:tcPr>
          <w:tcW w:w="2147" w:type="dxa"/>
          <w:shd w:val="clear" w:color="auto" w:fill="auto"/>
        </w:tcPr>
        <w:p w:rsidR="00403C04" w:rsidRPr="00804697" w:rsidRDefault="00403C04" w:rsidP="00403C04">
          <w:pPr>
            <w:tabs>
              <w:tab w:val="center" w:pos="726"/>
            </w:tabs>
            <w:spacing w:after="0"/>
            <w:rPr>
              <w:sz w:val="20"/>
              <w:szCs w:val="20"/>
            </w:rPr>
          </w:pPr>
          <w:r w:rsidRPr="00ED0657">
            <w:rPr>
              <w:noProof/>
              <w:sz w:val="20"/>
              <w:szCs w:val="48"/>
              <w:lang w:eastAsia="pt-BR"/>
            </w:rPr>
            <w:drawing>
              <wp:inline distT="0" distB="0" distL="0" distR="0">
                <wp:extent cx="714375" cy="352425"/>
                <wp:effectExtent l="0" t="0" r="9525" b="9525"/>
                <wp:docPr id="4" name="Imagem 4" descr="cev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ev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shd w:val="clear" w:color="auto" w:fill="auto"/>
        </w:tcPr>
        <w:p w:rsidR="00403C04" w:rsidRPr="00804697" w:rsidRDefault="00403C04" w:rsidP="00403C04">
          <w:pPr>
            <w:spacing w:after="0" w:line="240" w:lineRule="auto"/>
            <w:ind w:left="10" w:right="608"/>
            <w:jc w:val="center"/>
            <w:rPr>
              <w:rFonts w:eastAsia="Tahoma" w:cs="Calibri"/>
              <w:color w:val="595959"/>
              <w:szCs w:val="24"/>
            </w:rPr>
          </w:pPr>
          <w:r w:rsidRPr="00804697">
            <w:rPr>
              <w:rFonts w:eastAsia="Tahoma" w:cs="Calibri"/>
              <w:color w:val="595959"/>
              <w:szCs w:val="24"/>
            </w:rPr>
            <w:t>Av. Ipiranga, 5400     Porto Alegre/RS</w:t>
          </w:r>
        </w:p>
        <w:p w:rsidR="00403C04" w:rsidRPr="00804697" w:rsidRDefault="00403C04" w:rsidP="00403C04">
          <w:pPr>
            <w:spacing w:after="0" w:line="240" w:lineRule="auto"/>
            <w:ind w:left="10" w:right="608"/>
            <w:jc w:val="center"/>
            <w:rPr>
              <w:rFonts w:cs="Calibri"/>
              <w:color w:val="595959"/>
              <w:sz w:val="20"/>
              <w:szCs w:val="20"/>
            </w:rPr>
          </w:pPr>
          <w:r w:rsidRPr="00804697">
            <w:rPr>
              <w:rFonts w:eastAsia="Tahoma" w:cs="Calibri"/>
              <w:color w:val="595959"/>
              <w:szCs w:val="24"/>
            </w:rPr>
            <w:t xml:space="preserve">51   3901 1107 </w:t>
          </w:r>
          <w:hyperlink r:id="rId2" w:history="1">
            <w:r w:rsidRPr="00804697">
              <w:rPr>
                <w:rStyle w:val="Hyperlink"/>
                <w:rFonts w:eastAsia="Tahoma" w:cs="Calibri"/>
                <w:szCs w:val="24"/>
              </w:rPr>
              <w:t>cevs@saude.rs.gov.br</w:t>
            </w:r>
          </w:hyperlink>
        </w:p>
      </w:tc>
      <w:tc>
        <w:tcPr>
          <w:tcW w:w="2087" w:type="dxa"/>
          <w:shd w:val="clear" w:color="auto" w:fill="auto"/>
        </w:tcPr>
        <w:p w:rsidR="00403C04" w:rsidRPr="00804697" w:rsidRDefault="00403C04" w:rsidP="00403C04">
          <w:pPr>
            <w:spacing w:after="0"/>
            <w:jc w:val="right"/>
            <w:rPr>
              <w:sz w:val="20"/>
              <w:szCs w:val="20"/>
            </w:rPr>
          </w:pPr>
          <w:r w:rsidRPr="00B24FA2">
            <w:rPr>
              <w:noProof/>
              <w:lang w:eastAsia="pt-BR"/>
            </w:rPr>
            <w:drawing>
              <wp:inline distT="0" distB="0" distL="0" distR="0">
                <wp:extent cx="295275" cy="895350"/>
                <wp:effectExtent l="4763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295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C04" w:rsidRDefault="00403C04" w:rsidP="00403C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A8" w:rsidRDefault="001109A8" w:rsidP="00403C04">
      <w:pPr>
        <w:spacing w:after="0" w:line="240" w:lineRule="auto"/>
      </w:pPr>
      <w:r>
        <w:separator/>
      </w:r>
    </w:p>
  </w:footnote>
  <w:footnote w:type="continuationSeparator" w:id="0">
    <w:p w:rsidR="001109A8" w:rsidRDefault="001109A8" w:rsidP="0040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28" w:type="dxa"/>
      <w:jc w:val="center"/>
      <w:tblLook w:val="04A0"/>
    </w:tblPr>
    <w:tblGrid>
      <w:gridCol w:w="2306"/>
      <w:gridCol w:w="7694"/>
      <w:gridCol w:w="2028"/>
    </w:tblGrid>
    <w:tr w:rsidR="00403C04" w:rsidRPr="00804697" w:rsidTr="00ED0657">
      <w:trPr>
        <w:trHeight w:val="786"/>
        <w:jc w:val="center"/>
      </w:trPr>
      <w:tc>
        <w:tcPr>
          <w:tcW w:w="2306" w:type="dxa"/>
          <w:shd w:val="clear" w:color="auto" w:fill="auto"/>
        </w:tcPr>
        <w:p w:rsidR="00403C04" w:rsidRPr="00804697" w:rsidRDefault="00403C04" w:rsidP="00ED0657">
          <w:pPr>
            <w:spacing w:line="240" w:lineRule="auto"/>
            <w:ind w:right="-15"/>
            <w:jc w:val="center"/>
            <w:rPr>
              <w:rFonts w:cs="Calibri"/>
              <w:sz w:val="20"/>
              <w:szCs w:val="48"/>
            </w:rPr>
          </w:pPr>
          <w:r w:rsidRPr="00ED0657">
            <w:rPr>
              <w:noProof/>
              <w:sz w:val="20"/>
              <w:szCs w:val="48"/>
              <w:lang w:eastAsia="pt-BR"/>
            </w:rPr>
            <w:drawing>
              <wp:inline distT="0" distB="0" distL="0" distR="0">
                <wp:extent cx="294005" cy="898525"/>
                <wp:effectExtent l="254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29400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shd w:val="clear" w:color="auto" w:fill="auto"/>
        </w:tcPr>
        <w:p w:rsidR="00403C04" w:rsidRPr="00804697" w:rsidRDefault="00403C04" w:rsidP="003E553B">
          <w:pPr>
            <w:spacing w:after="0" w:line="240" w:lineRule="auto"/>
            <w:ind w:right="-17"/>
            <w:jc w:val="center"/>
            <w:rPr>
              <w:rFonts w:cs="Calibri"/>
              <w:color w:val="595959"/>
              <w:sz w:val="20"/>
              <w:szCs w:val="48"/>
            </w:rPr>
          </w:pPr>
          <w:r w:rsidRPr="00804697">
            <w:rPr>
              <w:rFonts w:cs="Calibri"/>
              <w:color w:val="595959"/>
              <w:sz w:val="20"/>
              <w:szCs w:val="48"/>
            </w:rPr>
            <w:t>GOVERNO DO ESTADO DO RIO GRANDE DO SUL</w:t>
          </w:r>
        </w:p>
        <w:p w:rsidR="00403C04" w:rsidRPr="00804697" w:rsidRDefault="00403C04" w:rsidP="003E553B">
          <w:pPr>
            <w:spacing w:after="0" w:line="240" w:lineRule="auto"/>
            <w:ind w:right="-17"/>
            <w:jc w:val="center"/>
            <w:rPr>
              <w:rFonts w:cs="Calibri"/>
              <w:color w:val="595959"/>
              <w:sz w:val="20"/>
              <w:szCs w:val="48"/>
            </w:rPr>
          </w:pPr>
          <w:r w:rsidRPr="00804697">
            <w:rPr>
              <w:rFonts w:cs="Calibri"/>
              <w:color w:val="595959"/>
              <w:sz w:val="20"/>
              <w:szCs w:val="48"/>
            </w:rPr>
            <w:t>SECRETARIA ESTADUAL DA SAÚDE</w:t>
          </w:r>
        </w:p>
        <w:p w:rsidR="00403C04" w:rsidRDefault="00403C04" w:rsidP="003E553B">
          <w:pPr>
            <w:spacing w:after="0" w:line="240" w:lineRule="auto"/>
            <w:ind w:right="-17"/>
            <w:jc w:val="center"/>
            <w:rPr>
              <w:rFonts w:cs="Calibri"/>
              <w:color w:val="595959"/>
              <w:sz w:val="20"/>
              <w:szCs w:val="48"/>
            </w:rPr>
          </w:pPr>
          <w:r w:rsidRPr="00804697">
            <w:rPr>
              <w:rFonts w:cs="Calibri"/>
              <w:color w:val="595959"/>
              <w:sz w:val="20"/>
              <w:szCs w:val="48"/>
            </w:rPr>
            <w:t>CENTRO ESTADUAL DE VIGILÂNCIA EM SAÚDE</w:t>
          </w:r>
        </w:p>
        <w:p w:rsidR="008310C5" w:rsidRPr="004E32BB" w:rsidRDefault="008310C5" w:rsidP="003E553B">
          <w:pPr>
            <w:spacing w:after="0" w:line="240" w:lineRule="auto"/>
            <w:ind w:right="-17"/>
            <w:jc w:val="center"/>
            <w:rPr>
              <w:rFonts w:cs="Calibri"/>
              <w:color w:val="595959"/>
              <w:sz w:val="20"/>
              <w:szCs w:val="48"/>
            </w:rPr>
          </w:pPr>
          <w:r>
            <w:rPr>
              <w:rFonts w:cs="Calibri"/>
              <w:color w:val="595959"/>
              <w:sz w:val="20"/>
              <w:szCs w:val="48"/>
            </w:rPr>
            <w:t xml:space="preserve">PROGRAMA ESTADUAL DE IMUNIZAÇÕES </w:t>
          </w:r>
        </w:p>
      </w:tc>
      <w:tc>
        <w:tcPr>
          <w:tcW w:w="2028" w:type="dxa"/>
          <w:shd w:val="clear" w:color="auto" w:fill="auto"/>
        </w:tcPr>
        <w:p w:rsidR="00403C04" w:rsidRPr="00804697" w:rsidRDefault="00403C04" w:rsidP="00ED0657">
          <w:pPr>
            <w:spacing w:line="240" w:lineRule="auto"/>
            <w:ind w:right="-15"/>
            <w:jc w:val="center"/>
            <w:rPr>
              <w:rFonts w:cs="Calibri"/>
              <w:sz w:val="20"/>
              <w:szCs w:val="48"/>
            </w:rPr>
          </w:pPr>
          <w:r w:rsidRPr="00ED0657">
            <w:rPr>
              <w:noProof/>
              <w:sz w:val="20"/>
              <w:szCs w:val="48"/>
              <w:lang w:eastAsia="pt-BR"/>
            </w:rPr>
            <w:drawing>
              <wp:inline distT="0" distB="0" distL="0" distR="0">
                <wp:extent cx="723265" cy="636270"/>
                <wp:effectExtent l="0" t="0" r="635" b="0"/>
                <wp:docPr id="1" name="Imagem 1" descr="IMG20201027WA0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G20201027WA0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C04" w:rsidRDefault="00403C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9F6"/>
    <w:multiLevelType w:val="hybridMultilevel"/>
    <w:tmpl w:val="B21EA972"/>
    <w:lvl w:ilvl="0" w:tplc="A6B296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0806B2"/>
    <w:multiLevelType w:val="hybridMultilevel"/>
    <w:tmpl w:val="DC5C62CE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585DC6"/>
    <w:multiLevelType w:val="hybridMultilevel"/>
    <w:tmpl w:val="6BB2F202"/>
    <w:lvl w:ilvl="0" w:tplc="079654B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130"/>
    <w:multiLevelType w:val="hybridMultilevel"/>
    <w:tmpl w:val="EA8A4182"/>
    <w:lvl w:ilvl="0" w:tplc="6D7CC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B96"/>
    <w:multiLevelType w:val="hybridMultilevel"/>
    <w:tmpl w:val="2CFE8192"/>
    <w:lvl w:ilvl="0" w:tplc="15E450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3CFA"/>
    <w:multiLevelType w:val="hybridMultilevel"/>
    <w:tmpl w:val="32823052"/>
    <w:lvl w:ilvl="0" w:tplc="27D6AC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590B"/>
    <w:multiLevelType w:val="hybridMultilevel"/>
    <w:tmpl w:val="87566944"/>
    <w:lvl w:ilvl="0" w:tplc="CD4A03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286B30"/>
    <w:multiLevelType w:val="hybridMultilevel"/>
    <w:tmpl w:val="D124E078"/>
    <w:lvl w:ilvl="0" w:tplc="079654B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96C43"/>
    <w:multiLevelType w:val="hybridMultilevel"/>
    <w:tmpl w:val="E48E9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01C"/>
    <w:multiLevelType w:val="hybridMultilevel"/>
    <w:tmpl w:val="93941B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66B1E"/>
    <w:multiLevelType w:val="hybridMultilevel"/>
    <w:tmpl w:val="254E9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61DA0"/>
    <w:multiLevelType w:val="hybridMultilevel"/>
    <w:tmpl w:val="56E040BE"/>
    <w:lvl w:ilvl="0" w:tplc="0416000D">
      <w:start w:val="1"/>
      <w:numFmt w:val="bullet"/>
      <w:lvlText w:val=""/>
      <w:lvlJc w:val="left"/>
      <w:pPr>
        <w:ind w:left="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>
    <w:nsid w:val="53D97EA2"/>
    <w:multiLevelType w:val="hybridMultilevel"/>
    <w:tmpl w:val="D6700DA6"/>
    <w:lvl w:ilvl="0" w:tplc="079654B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72CE"/>
    <w:multiLevelType w:val="hybridMultilevel"/>
    <w:tmpl w:val="50CADC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34B8"/>
    <w:multiLevelType w:val="hybridMultilevel"/>
    <w:tmpl w:val="35820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8236D"/>
    <w:multiLevelType w:val="hybridMultilevel"/>
    <w:tmpl w:val="1340D212"/>
    <w:lvl w:ilvl="0" w:tplc="15E4502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825438"/>
    <w:multiLevelType w:val="hybridMultilevel"/>
    <w:tmpl w:val="250200E8"/>
    <w:lvl w:ilvl="0" w:tplc="71CAB93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394237"/>
    <w:multiLevelType w:val="hybridMultilevel"/>
    <w:tmpl w:val="CDB8BC2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324F0A"/>
    <w:multiLevelType w:val="hybridMultilevel"/>
    <w:tmpl w:val="8D4073BA"/>
    <w:lvl w:ilvl="0" w:tplc="0416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>
    <w:nsid w:val="6F305BD5"/>
    <w:multiLevelType w:val="hybridMultilevel"/>
    <w:tmpl w:val="AD9CA904"/>
    <w:lvl w:ilvl="0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743C6663"/>
    <w:multiLevelType w:val="multilevel"/>
    <w:tmpl w:val="D34C9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8B61F2A"/>
    <w:multiLevelType w:val="hybridMultilevel"/>
    <w:tmpl w:val="6B864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2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1"/>
  </w:num>
  <w:num w:numId="19">
    <w:abstractNumId w:val="10"/>
  </w:num>
  <w:num w:numId="20">
    <w:abstractNumId w:val="9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F0AB7"/>
    <w:rsid w:val="00037222"/>
    <w:rsid w:val="00041DFF"/>
    <w:rsid w:val="00044655"/>
    <w:rsid w:val="000515DA"/>
    <w:rsid w:val="00080C96"/>
    <w:rsid w:val="000A0796"/>
    <w:rsid w:val="000A4D29"/>
    <w:rsid w:val="000E6234"/>
    <w:rsid w:val="00101932"/>
    <w:rsid w:val="001109A8"/>
    <w:rsid w:val="001135B1"/>
    <w:rsid w:val="00120832"/>
    <w:rsid w:val="00131595"/>
    <w:rsid w:val="00137EB6"/>
    <w:rsid w:val="00140CC8"/>
    <w:rsid w:val="0014787A"/>
    <w:rsid w:val="001638FC"/>
    <w:rsid w:val="001A4B7A"/>
    <w:rsid w:val="001B6CF8"/>
    <w:rsid w:val="001D151D"/>
    <w:rsid w:val="001D486B"/>
    <w:rsid w:val="001E59E3"/>
    <w:rsid w:val="001F0AB7"/>
    <w:rsid w:val="00211A1E"/>
    <w:rsid w:val="00214476"/>
    <w:rsid w:val="00236324"/>
    <w:rsid w:val="00265F31"/>
    <w:rsid w:val="002731F8"/>
    <w:rsid w:val="00273911"/>
    <w:rsid w:val="002A5CD1"/>
    <w:rsid w:val="002B294F"/>
    <w:rsid w:val="002B2D71"/>
    <w:rsid w:val="002C13E7"/>
    <w:rsid w:val="002C190C"/>
    <w:rsid w:val="002F2252"/>
    <w:rsid w:val="00307046"/>
    <w:rsid w:val="00313D68"/>
    <w:rsid w:val="003222AD"/>
    <w:rsid w:val="00325594"/>
    <w:rsid w:val="00331742"/>
    <w:rsid w:val="003351DC"/>
    <w:rsid w:val="003401C2"/>
    <w:rsid w:val="00346DF1"/>
    <w:rsid w:val="00361664"/>
    <w:rsid w:val="00365559"/>
    <w:rsid w:val="00365705"/>
    <w:rsid w:val="0038014F"/>
    <w:rsid w:val="00380224"/>
    <w:rsid w:val="00392ACB"/>
    <w:rsid w:val="003E24AC"/>
    <w:rsid w:val="003E3C1F"/>
    <w:rsid w:val="003E553B"/>
    <w:rsid w:val="003F0B03"/>
    <w:rsid w:val="003F59DF"/>
    <w:rsid w:val="0040191A"/>
    <w:rsid w:val="00402EF2"/>
    <w:rsid w:val="00403C04"/>
    <w:rsid w:val="00404E1F"/>
    <w:rsid w:val="00422225"/>
    <w:rsid w:val="004223FD"/>
    <w:rsid w:val="0042751E"/>
    <w:rsid w:val="004351DA"/>
    <w:rsid w:val="00447E57"/>
    <w:rsid w:val="004801DB"/>
    <w:rsid w:val="004822E1"/>
    <w:rsid w:val="0048491D"/>
    <w:rsid w:val="00496FF0"/>
    <w:rsid w:val="004A7360"/>
    <w:rsid w:val="004B2C4A"/>
    <w:rsid w:val="004E3AA9"/>
    <w:rsid w:val="00507C64"/>
    <w:rsid w:val="0052314B"/>
    <w:rsid w:val="00527E4A"/>
    <w:rsid w:val="00533637"/>
    <w:rsid w:val="005367A6"/>
    <w:rsid w:val="005567D4"/>
    <w:rsid w:val="00596A48"/>
    <w:rsid w:val="005B7C4E"/>
    <w:rsid w:val="005B7F99"/>
    <w:rsid w:val="005D0A6B"/>
    <w:rsid w:val="005D64B5"/>
    <w:rsid w:val="005D7FD2"/>
    <w:rsid w:val="00616033"/>
    <w:rsid w:val="006220EB"/>
    <w:rsid w:val="00625CFC"/>
    <w:rsid w:val="0063119D"/>
    <w:rsid w:val="00655D1E"/>
    <w:rsid w:val="00664D80"/>
    <w:rsid w:val="00696818"/>
    <w:rsid w:val="006B26D3"/>
    <w:rsid w:val="006D3ED5"/>
    <w:rsid w:val="00723C1C"/>
    <w:rsid w:val="00724611"/>
    <w:rsid w:val="00733383"/>
    <w:rsid w:val="00744AE5"/>
    <w:rsid w:val="00756752"/>
    <w:rsid w:val="0077369B"/>
    <w:rsid w:val="00777C88"/>
    <w:rsid w:val="007B2087"/>
    <w:rsid w:val="007C1BF8"/>
    <w:rsid w:val="007C1D2B"/>
    <w:rsid w:val="007C52DC"/>
    <w:rsid w:val="007D2E5D"/>
    <w:rsid w:val="007F4936"/>
    <w:rsid w:val="0081071D"/>
    <w:rsid w:val="00823FDB"/>
    <w:rsid w:val="008310C5"/>
    <w:rsid w:val="008665C0"/>
    <w:rsid w:val="00874F3C"/>
    <w:rsid w:val="008817D2"/>
    <w:rsid w:val="008B62FF"/>
    <w:rsid w:val="008C03F7"/>
    <w:rsid w:val="008C08B0"/>
    <w:rsid w:val="008D4B70"/>
    <w:rsid w:val="009304A0"/>
    <w:rsid w:val="00936AC2"/>
    <w:rsid w:val="00951910"/>
    <w:rsid w:val="0095414B"/>
    <w:rsid w:val="00984174"/>
    <w:rsid w:val="00997098"/>
    <w:rsid w:val="0099727E"/>
    <w:rsid w:val="009A5987"/>
    <w:rsid w:val="00A063FB"/>
    <w:rsid w:val="00A33E7E"/>
    <w:rsid w:val="00A34FF2"/>
    <w:rsid w:val="00A67E86"/>
    <w:rsid w:val="00A90E75"/>
    <w:rsid w:val="00AB4B14"/>
    <w:rsid w:val="00AD2DEE"/>
    <w:rsid w:val="00AD4381"/>
    <w:rsid w:val="00AE3143"/>
    <w:rsid w:val="00B03821"/>
    <w:rsid w:val="00B16E4C"/>
    <w:rsid w:val="00B427EA"/>
    <w:rsid w:val="00B51FF0"/>
    <w:rsid w:val="00B61409"/>
    <w:rsid w:val="00B65E06"/>
    <w:rsid w:val="00B81D74"/>
    <w:rsid w:val="00B97E5C"/>
    <w:rsid w:val="00BA367F"/>
    <w:rsid w:val="00BB43EC"/>
    <w:rsid w:val="00BB55CC"/>
    <w:rsid w:val="00BD0DB7"/>
    <w:rsid w:val="00BD1F3C"/>
    <w:rsid w:val="00BD3D1A"/>
    <w:rsid w:val="00C1636A"/>
    <w:rsid w:val="00C216CC"/>
    <w:rsid w:val="00C33866"/>
    <w:rsid w:val="00C37FD7"/>
    <w:rsid w:val="00C43C4C"/>
    <w:rsid w:val="00C442F3"/>
    <w:rsid w:val="00C667F3"/>
    <w:rsid w:val="00C7195A"/>
    <w:rsid w:val="00C7269E"/>
    <w:rsid w:val="00C87D08"/>
    <w:rsid w:val="00C924A9"/>
    <w:rsid w:val="00C94E16"/>
    <w:rsid w:val="00CB7578"/>
    <w:rsid w:val="00CC0EF3"/>
    <w:rsid w:val="00CC2ED0"/>
    <w:rsid w:val="00CD6BB2"/>
    <w:rsid w:val="00CF1CA3"/>
    <w:rsid w:val="00CF6DCD"/>
    <w:rsid w:val="00D04FC0"/>
    <w:rsid w:val="00D07A35"/>
    <w:rsid w:val="00D14D9E"/>
    <w:rsid w:val="00D22077"/>
    <w:rsid w:val="00D33A33"/>
    <w:rsid w:val="00D34D08"/>
    <w:rsid w:val="00D4169B"/>
    <w:rsid w:val="00D47161"/>
    <w:rsid w:val="00D57089"/>
    <w:rsid w:val="00D63C4C"/>
    <w:rsid w:val="00D752C7"/>
    <w:rsid w:val="00DA2D42"/>
    <w:rsid w:val="00DB149B"/>
    <w:rsid w:val="00DB24D7"/>
    <w:rsid w:val="00DD1888"/>
    <w:rsid w:val="00DE7CF9"/>
    <w:rsid w:val="00DF3969"/>
    <w:rsid w:val="00E06867"/>
    <w:rsid w:val="00E11181"/>
    <w:rsid w:val="00E20475"/>
    <w:rsid w:val="00E30613"/>
    <w:rsid w:val="00E42427"/>
    <w:rsid w:val="00E44663"/>
    <w:rsid w:val="00E6404F"/>
    <w:rsid w:val="00E73CBB"/>
    <w:rsid w:val="00E8064F"/>
    <w:rsid w:val="00E92D41"/>
    <w:rsid w:val="00E973EE"/>
    <w:rsid w:val="00EB282A"/>
    <w:rsid w:val="00EB6DDC"/>
    <w:rsid w:val="00EC2EA4"/>
    <w:rsid w:val="00EC3B9A"/>
    <w:rsid w:val="00EE19BF"/>
    <w:rsid w:val="00F013AC"/>
    <w:rsid w:val="00F23D68"/>
    <w:rsid w:val="00F34540"/>
    <w:rsid w:val="00F458D6"/>
    <w:rsid w:val="00F60D72"/>
    <w:rsid w:val="00F66FBB"/>
    <w:rsid w:val="00FA62F0"/>
    <w:rsid w:val="00FA6785"/>
    <w:rsid w:val="00FC1712"/>
    <w:rsid w:val="00FC63ED"/>
    <w:rsid w:val="00FD1A7C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83"/>
  </w:style>
  <w:style w:type="paragraph" w:styleId="Ttulo1">
    <w:name w:val="heading 1"/>
    <w:basedOn w:val="Normal"/>
    <w:next w:val="Normal"/>
    <w:link w:val="Ttulo1Char"/>
    <w:uiPriority w:val="9"/>
    <w:qFormat/>
    <w:rsid w:val="008C0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F0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0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52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4476"/>
    <w:pPr>
      <w:ind w:left="720"/>
      <w:contextualSpacing/>
    </w:pPr>
  </w:style>
  <w:style w:type="table" w:customStyle="1" w:styleId="GridTable4Accent5">
    <w:name w:val="Grid Table 4 Accent 5"/>
    <w:basedOn w:val="Tabelanormal"/>
    <w:uiPriority w:val="49"/>
    <w:rsid w:val="008C0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C03F7"/>
    <w:rPr>
      <w:rFonts w:asciiTheme="majorHAnsi" w:eastAsiaTheme="majorEastAsia" w:hAnsiTheme="majorHAnsi" w:cstheme="majorBidi"/>
      <w:color w:val="00833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403C04"/>
    <w:pPr>
      <w:suppressAutoHyphens/>
      <w:spacing w:after="0" w:line="240" w:lineRule="auto"/>
      <w:ind w:right="51"/>
      <w:jc w:val="both"/>
    </w:pPr>
    <w:rPr>
      <w:rFonts w:ascii="Lucida Casual" w:eastAsia="Times New Roman" w:hAnsi="Lucida Casu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403C04"/>
    <w:rPr>
      <w:rFonts w:ascii="Lucida Casual" w:eastAsia="Times New Roman" w:hAnsi="Lucida Casual" w:cs="Times New Roman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0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C04"/>
  </w:style>
  <w:style w:type="paragraph" w:styleId="Rodap">
    <w:name w:val="footer"/>
    <w:basedOn w:val="Normal"/>
    <w:link w:val="RodapChar"/>
    <w:uiPriority w:val="99"/>
    <w:unhideWhenUsed/>
    <w:rsid w:val="0040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C04"/>
  </w:style>
  <w:style w:type="character" w:styleId="Hyperlink">
    <w:name w:val="Hyperlink"/>
    <w:uiPriority w:val="99"/>
    <w:unhideWhenUsed/>
    <w:rsid w:val="00403C04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B2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3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5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vs@saude.rs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VS_2021">
  <a:themeElements>
    <a:clrScheme name="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C00000"/>
      </a:accent2>
      <a:accent3>
        <a:srgbClr val="FFC000"/>
      </a:accent3>
      <a:accent4>
        <a:srgbClr val="0070C0"/>
      </a:accent4>
      <a:accent5>
        <a:srgbClr val="7F7F7F"/>
      </a:accent5>
      <a:accent6>
        <a:srgbClr val="33CC33"/>
      </a:accent6>
      <a:hlink>
        <a:srgbClr val="2E75B5"/>
      </a:hlink>
      <a:folHlink>
        <a:srgbClr val="C00000"/>
      </a:folHlink>
    </a:clrScheme>
    <a:fontScheme name="Cyn">
      <a:majorFont>
        <a:latin typeface="Arial"/>
        <a:ea typeface=""/>
        <a:cs typeface=""/>
      </a:majorFont>
      <a:minorFont>
        <a:latin typeface="Arial Unicode M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EVS_2021" id="{C3CB6D50-C0D8-41A0-A9AB-B4307A3A48B1}" vid="{34FC6537-4E83-4B3D-A501-B83E0EBC70C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Goulart Molina Bastos</dc:creator>
  <cp:lastModifiedBy>SES3921999</cp:lastModifiedBy>
  <cp:revision>5</cp:revision>
  <dcterms:created xsi:type="dcterms:W3CDTF">2021-04-29T17:57:00Z</dcterms:created>
  <dcterms:modified xsi:type="dcterms:W3CDTF">2021-05-05T13:22:00Z</dcterms:modified>
</cp:coreProperties>
</file>